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719B9" w14:textId="322E6435" w:rsidR="0036753D" w:rsidRDefault="008A7265" w:rsidP="00964AE5">
      <w:pPr>
        <w:pStyle w:val="NoSpacing"/>
        <w:jc w:val="center"/>
        <w:rPr>
          <w:color w:val="385623" w:themeColor="accent6" w:themeShade="80"/>
          <w:sz w:val="36"/>
          <w:szCs w:val="36"/>
        </w:rPr>
      </w:pPr>
      <w:r w:rsidRPr="00964AE5">
        <w:rPr>
          <w:color w:val="385623" w:themeColor="accent6" w:themeShade="80"/>
          <w:sz w:val="36"/>
          <w:szCs w:val="36"/>
        </w:rPr>
        <w:t xml:space="preserve">FINANCE </w:t>
      </w:r>
      <w:r w:rsidR="0036753D" w:rsidRPr="00964AE5">
        <w:rPr>
          <w:color w:val="385623" w:themeColor="accent6" w:themeShade="80"/>
          <w:sz w:val="36"/>
          <w:szCs w:val="36"/>
        </w:rPr>
        <w:t>POLICY</w:t>
      </w:r>
    </w:p>
    <w:p w14:paraId="2C4FF670" w14:textId="5258E44A" w:rsidR="008A7265" w:rsidRPr="00964AE5" w:rsidRDefault="008A7265" w:rsidP="00827ADA">
      <w:pPr>
        <w:pStyle w:val="Heading1"/>
        <w:numPr>
          <w:ilvl w:val="0"/>
          <w:numId w:val="22"/>
        </w:numPr>
        <w:ind w:right="-613"/>
      </w:pPr>
      <w:bookmarkStart w:id="0" w:name="_Toc95989331"/>
      <w:r w:rsidRPr="00964AE5">
        <w:t>Managing Assets</w:t>
      </w:r>
      <w:bookmarkEnd w:id="0"/>
    </w:p>
    <w:p w14:paraId="0DD40C08" w14:textId="39A6FA2A" w:rsidR="008A7265" w:rsidRDefault="005B72A2" w:rsidP="00964AE5">
      <w:pPr>
        <w:pStyle w:val="NoSpacing"/>
        <w:ind w:right="-613"/>
      </w:pPr>
      <w:r>
        <w:t xml:space="preserve">Padworth Village Hall Committee “The Committee” </w:t>
      </w:r>
      <w:r w:rsidR="000E5A3D" w:rsidRPr="00964AE5">
        <w:t xml:space="preserve">will manage the assets of the charity in accordance with the </w:t>
      </w:r>
      <w:r w:rsidR="008A7265" w:rsidRPr="00964AE5">
        <w:t xml:space="preserve">Padworth </w:t>
      </w:r>
      <w:r w:rsidR="000E5A3D" w:rsidRPr="00964AE5">
        <w:t>Village</w:t>
      </w:r>
      <w:r w:rsidR="000E5A3D">
        <w:t xml:space="preserve"> Hall Trust Deed</w:t>
      </w:r>
      <w:r w:rsidR="00B65253">
        <w:t xml:space="preserve"> dated December 1952</w:t>
      </w:r>
    </w:p>
    <w:p w14:paraId="01BED6D4" w14:textId="29ACE01E" w:rsidR="008A7265" w:rsidRDefault="008A7265" w:rsidP="00827ADA">
      <w:pPr>
        <w:pStyle w:val="Heading1"/>
        <w:numPr>
          <w:ilvl w:val="0"/>
          <w:numId w:val="22"/>
        </w:numPr>
        <w:ind w:right="-613"/>
      </w:pPr>
      <w:bookmarkStart w:id="1" w:name="_Toc95989332"/>
      <w:r>
        <w:t>Insur</w:t>
      </w:r>
      <w:r w:rsidR="00B65253">
        <w:t>ance</w:t>
      </w:r>
      <w:bookmarkEnd w:id="1"/>
    </w:p>
    <w:p w14:paraId="41CA9E0A" w14:textId="333D8869" w:rsidR="008A7265" w:rsidRDefault="00A3124E" w:rsidP="00964AE5">
      <w:pPr>
        <w:pStyle w:val="NoSpacing"/>
        <w:ind w:right="-613"/>
      </w:pPr>
      <w:r>
        <w:t xml:space="preserve">Insurance for the PVH and all assets is purchased by the Padworth Parish Council.  </w:t>
      </w:r>
      <w:r w:rsidR="005D2718">
        <w:t xml:space="preserve">The </w:t>
      </w:r>
      <w:r w:rsidR="00EC4AE1">
        <w:t>Treasurer of Padworth Parish Council will share details of the insurance with PVH Treasurer</w:t>
      </w:r>
      <w:r w:rsidR="00313292">
        <w:t xml:space="preserve">, using </w:t>
      </w:r>
      <w:r w:rsidR="000E5A3D">
        <w:t xml:space="preserve">a reputable Insurance Company on </w:t>
      </w:r>
      <w:r w:rsidR="000E5A3D" w:rsidRPr="00D65BC7">
        <w:t>an ‘All Risks’ basis</w:t>
      </w:r>
      <w:r w:rsidR="000E5A3D">
        <w:t xml:space="preserve"> for its full rebuild value; the sums insured shall be reviewed at each policy renewal. </w:t>
      </w:r>
      <w:r w:rsidR="00C954FF">
        <w:t xml:space="preserve">A copy of the insurance </w:t>
      </w:r>
      <w:r w:rsidR="00313292">
        <w:t xml:space="preserve">certificate will be </w:t>
      </w:r>
      <w:r w:rsidR="00C954FF">
        <w:t>display</w:t>
      </w:r>
      <w:r w:rsidR="00D65BC7">
        <w:t>ed</w:t>
      </w:r>
      <w:r w:rsidR="00C954FF">
        <w:t xml:space="preserve"> </w:t>
      </w:r>
      <w:r w:rsidR="00D65BC7">
        <w:t>on the</w:t>
      </w:r>
      <w:r w:rsidR="00C954FF">
        <w:t xml:space="preserve"> PVH notice board.</w:t>
      </w:r>
    </w:p>
    <w:p w14:paraId="4FE774A5" w14:textId="7D72B681" w:rsidR="008A7265" w:rsidRDefault="000E5A3D" w:rsidP="00827ADA">
      <w:pPr>
        <w:pStyle w:val="Heading1"/>
        <w:numPr>
          <w:ilvl w:val="0"/>
          <w:numId w:val="22"/>
        </w:numPr>
        <w:ind w:right="-613"/>
      </w:pPr>
      <w:bookmarkStart w:id="2" w:name="_Toc95989333"/>
      <w:r>
        <w:t>Financial records</w:t>
      </w:r>
      <w:bookmarkEnd w:id="2"/>
      <w:r>
        <w:t xml:space="preserve"> </w:t>
      </w:r>
    </w:p>
    <w:p w14:paraId="4536762B" w14:textId="79B4FCB5" w:rsidR="008A7265" w:rsidRDefault="008A7265" w:rsidP="00964AE5">
      <w:pPr>
        <w:pStyle w:val="NoSpacing"/>
        <w:ind w:right="-613"/>
      </w:pPr>
      <w:r>
        <w:t xml:space="preserve">Financial records </w:t>
      </w:r>
      <w:r w:rsidR="000E5A3D">
        <w:t xml:space="preserve">will be kept </w:t>
      </w:r>
      <w:r w:rsidR="0025603B">
        <w:t>ensuring</w:t>
      </w:r>
      <w:r w:rsidR="000E5A3D">
        <w:t xml:space="preserve"> that </w:t>
      </w:r>
      <w:r w:rsidR="008E751F">
        <w:t>PVH</w:t>
      </w:r>
      <w:r w:rsidR="000E5A3D">
        <w:t xml:space="preserve"> meets its legal and other obligations under Charity Law, Revenue and Customs and common law. </w:t>
      </w:r>
    </w:p>
    <w:p w14:paraId="567FAB7A" w14:textId="7AE23BD6" w:rsidR="008A7265" w:rsidRPr="00844479" w:rsidRDefault="000E5A3D" w:rsidP="00844479">
      <w:pPr>
        <w:pStyle w:val="Heading1"/>
        <w:numPr>
          <w:ilvl w:val="0"/>
          <w:numId w:val="0"/>
        </w:numPr>
        <w:ind w:right="-613"/>
        <w:rPr>
          <w:rFonts w:asciiTheme="minorHAnsi" w:eastAsiaTheme="minorHAnsi" w:hAnsiTheme="minorHAnsi" w:cstheme="minorBidi"/>
          <w:color w:val="auto"/>
          <w:sz w:val="24"/>
          <w:szCs w:val="24"/>
          <w:bdr w:val="none" w:sz="0" w:space="0" w:color="auto"/>
          <w:lang w:eastAsia="en-US"/>
        </w:rPr>
      </w:pPr>
      <w:bookmarkStart w:id="3" w:name="_Toc95989334"/>
      <w:r w:rsidRPr="00844479">
        <w:rPr>
          <w:rFonts w:asciiTheme="minorHAnsi" w:eastAsiaTheme="minorHAnsi" w:hAnsiTheme="minorHAnsi" w:cstheme="minorBidi"/>
          <w:color w:val="auto"/>
          <w:sz w:val="24"/>
          <w:szCs w:val="24"/>
          <w:bdr w:val="none" w:sz="0" w:space="0" w:color="auto"/>
          <w:lang w:eastAsia="en-US"/>
        </w:rPr>
        <w:t>The financial year</w:t>
      </w:r>
      <w:bookmarkEnd w:id="3"/>
      <w:r w:rsidRPr="00844479">
        <w:rPr>
          <w:rFonts w:asciiTheme="minorHAnsi" w:eastAsiaTheme="minorHAnsi" w:hAnsiTheme="minorHAnsi" w:cstheme="minorBidi"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</w:p>
    <w:p w14:paraId="704EB482" w14:textId="1EC104F6" w:rsidR="008C4823" w:rsidRDefault="008A7265" w:rsidP="00964AE5">
      <w:pPr>
        <w:pStyle w:val="NoSpacing"/>
        <w:ind w:right="-613"/>
      </w:pPr>
      <w:r>
        <w:t xml:space="preserve">The year will end on </w:t>
      </w:r>
      <w:r w:rsidR="000E5A3D">
        <w:t xml:space="preserve">the last </w:t>
      </w:r>
      <w:r w:rsidR="000E5A3D" w:rsidRPr="00D65BC7">
        <w:t xml:space="preserve">day of </w:t>
      </w:r>
      <w:r w:rsidR="008C4823" w:rsidRPr="00D65BC7">
        <w:t>December</w:t>
      </w:r>
      <w:r w:rsidR="000E5A3D" w:rsidRPr="00D65BC7">
        <w:t xml:space="preserve"> and</w:t>
      </w:r>
      <w:r w:rsidR="000E5A3D">
        <w:t xml:space="preserve"> accounts for each financial year will be drawn up and approved by the</w:t>
      </w:r>
      <w:r w:rsidR="00E333CE">
        <w:t xml:space="preserve"> Committee</w:t>
      </w:r>
      <w:r w:rsidR="000E5A3D">
        <w:t xml:space="preserve"> prior to being </w:t>
      </w:r>
      <w:r w:rsidR="008C4823">
        <w:t xml:space="preserve">published. </w:t>
      </w:r>
    </w:p>
    <w:p w14:paraId="7EAF3B9E" w14:textId="0A84B411" w:rsidR="008C4823" w:rsidRPr="00844479" w:rsidRDefault="008C4823" w:rsidP="00844479">
      <w:pPr>
        <w:pStyle w:val="NoSpacing"/>
        <w:ind w:right="-613"/>
        <w:rPr>
          <w:b/>
          <w:bCs/>
        </w:rPr>
      </w:pPr>
      <w:bookmarkStart w:id="4" w:name="_Toc95989335"/>
      <w:r w:rsidRPr="00844479">
        <w:rPr>
          <w:b/>
          <w:bCs/>
        </w:rPr>
        <w:t>Audits</w:t>
      </w:r>
      <w:bookmarkEnd w:id="4"/>
    </w:p>
    <w:p w14:paraId="41F2113B" w14:textId="1ED48A09" w:rsidR="008C4823" w:rsidRDefault="008C4823" w:rsidP="00964AE5">
      <w:pPr>
        <w:pStyle w:val="NoSpacing"/>
        <w:ind w:right="-613"/>
      </w:pPr>
      <w:r>
        <w:t xml:space="preserve">The accounts </w:t>
      </w:r>
      <w:r w:rsidR="000E5A3D">
        <w:t xml:space="preserve">will be independently examined by an auditor or examiner of accounts appointed by the </w:t>
      </w:r>
      <w:r w:rsidR="00E333CE">
        <w:t>Committee</w:t>
      </w:r>
      <w:r>
        <w:t xml:space="preserve">. </w:t>
      </w:r>
      <w:r w:rsidR="000E5A3D">
        <w:t xml:space="preserve"> </w:t>
      </w:r>
    </w:p>
    <w:p w14:paraId="3282948E" w14:textId="33D97A6E" w:rsidR="008C4823" w:rsidRPr="00844479" w:rsidRDefault="008C4823" w:rsidP="00844479">
      <w:pPr>
        <w:pStyle w:val="NoSpacing"/>
        <w:ind w:right="-613"/>
        <w:rPr>
          <w:b/>
          <w:bCs/>
        </w:rPr>
      </w:pPr>
      <w:bookmarkStart w:id="5" w:name="_Toc95989336"/>
      <w:r w:rsidRPr="00844479">
        <w:rPr>
          <w:b/>
          <w:bCs/>
        </w:rPr>
        <w:t>Budget</w:t>
      </w:r>
      <w:bookmarkEnd w:id="5"/>
    </w:p>
    <w:p w14:paraId="0EB64BAB" w14:textId="2B8FF49B" w:rsidR="008C4823" w:rsidRDefault="00E333CE" w:rsidP="00964AE5">
      <w:pPr>
        <w:pStyle w:val="NoSpacing"/>
        <w:ind w:right="-613"/>
      </w:pPr>
      <w:r>
        <w:t xml:space="preserve">The Committee </w:t>
      </w:r>
      <w:r w:rsidR="000E5A3D">
        <w:t xml:space="preserve">will approve a basic budget prior to the start of each financial year and monitor financial performance at every monthly meeting of the Management Committee </w:t>
      </w:r>
    </w:p>
    <w:p w14:paraId="65BB6363" w14:textId="4B835816" w:rsidR="008C4823" w:rsidRPr="00844479" w:rsidRDefault="008C4823" w:rsidP="00844479">
      <w:pPr>
        <w:pStyle w:val="NoSpacing"/>
        <w:ind w:right="-613"/>
        <w:rPr>
          <w:b/>
          <w:bCs/>
        </w:rPr>
      </w:pPr>
      <w:bookmarkStart w:id="6" w:name="_Toc95989337"/>
      <w:r w:rsidRPr="00844479">
        <w:rPr>
          <w:b/>
          <w:bCs/>
        </w:rPr>
        <w:t>Funds/Reserves</w:t>
      </w:r>
      <w:bookmarkEnd w:id="6"/>
    </w:p>
    <w:p w14:paraId="7E8231EB" w14:textId="3521E263" w:rsidR="008C4823" w:rsidRDefault="00E333CE" w:rsidP="00964AE5">
      <w:pPr>
        <w:pStyle w:val="NoSpacing"/>
        <w:ind w:right="-613"/>
      </w:pPr>
      <w:r>
        <w:t xml:space="preserve">The Committee </w:t>
      </w:r>
      <w:r w:rsidR="000E5A3D">
        <w:t xml:space="preserve">shall approve a Reserves Policy of a minimum of £5000 in the deposit account.  All funds will be held in accounts in the name of </w:t>
      </w:r>
      <w:r w:rsidR="008C4823">
        <w:t xml:space="preserve">Padworth </w:t>
      </w:r>
      <w:r w:rsidR="000E5A3D">
        <w:t xml:space="preserve">Village Hall </w:t>
      </w:r>
      <w:r w:rsidR="008C4823">
        <w:t xml:space="preserve">and Fields </w:t>
      </w:r>
      <w:r w:rsidR="000E5A3D">
        <w:t xml:space="preserve">at such banks and on such terms as the </w:t>
      </w:r>
      <w:r>
        <w:t>Committee</w:t>
      </w:r>
      <w:r w:rsidR="000E5A3D">
        <w:t xml:space="preserve"> shall decide. All </w:t>
      </w:r>
      <w:r w:rsidR="00067081">
        <w:t>payments</w:t>
      </w:r>
      <w:r w:rsidR="000E5A3D">
        <w:t xml:space="preserve"> shall </w:t>
      </w:r>
      <w:r w:rsidR="00067081">
        <w:t xml:space="preserve">be in accordance with the </w:t>
      </w:r>
      <w:r w:rsidR="00F13C27">
        <w:t xml:space="preserve">agreed </w:t>
      </w:r>
      <w:r w:rsidR="00067081">
        <w:t>budget</w:t>
      </w:r>
      <w:r w:rsidR="00F13C27">
        <w:t>.  E</w:t>
      </w:r>
      <w:r w:rsidR="00067081">
        <w:t>xpenses</w:t>
      </w:r>
      <w:r w:rsidR="00F13C27">
        <w:t xml:space="preserve"> / costs</w:t>
      </w:r>
      <w:r w:rsidR="00067081">
        <w:t xml:space="preserve"> outside the budget will be </w:t>
      </w:r>
      <w:r w:rsidR="00F13C27">
        <w:t xml:space="preserve">authorised by the Chairperson and / or another committee member.  </w:t>
      </w:r>
      <w:r w:rsidR="000E5A3D">
        <w:t xml:space="preserve"> </w:t>
      </w:r>
    </w:p>
    <w:p w14:paraId="71A0C911" w14:textId="7D363801" w:rsidR="008C4823" w:rsidRPr="00844479" w:rsidRDefault="008C4823" w:rsidP="00844479">
      <w:pPr>
        <w:pStyle w:val="NoSpacing"/>
        <w:ind w:right="-613"/>
        <w:rPr>
          <w:b/>
          <w:bCs/>
        </w:rPr>
      </w:pPr>
      <w:bookmarkStart w:id="7" w:name="_Toc95989338"/>
      <w:r w:rsidRPr="00844479">
        <w:rPr>
          <w:b/>
          <w:bCs/>
        </w:rPr>
        <w:t>Reporting</w:t>
      </w:r>
      <w:bookmarkEnd w:id="7"/>
    </w:p>
    <w:p w14:paraId="5FCA2336" w14:textId="575ABFC2" w:rsidR="008C4823" w:rsidRDefault="000E5A3D" w:rsidP="00964AE5">
      <w:pPr>
        <w:pStyle w:val="NoSpacing"/>
        <w:ind w:right="-613"/>
      </w:pPr>
      <w:r>
        <w:t xml:space="preserve">The treasurer shall present a financial report to every meeting of </w:t>
      </w:r>
      <w:r w:rsidR="00E333CE">
        <w:t>the Committee</w:t>
      </w:r>
      <w:r>
        <w:t xml:space="preserve">: the format and content of the report to be decided by </w:t>
      </w:r>
      <w:r w:rsidR="00E333CE">
        <w:t>the Committee</w:t>
      </w:r>
      <w:r>
        <w:t xml:space="preserve">. </w:t>
      </w:r>
    </w:p>
    <w:p w14:paraId="0388F740" w14:textId="305CBB47" w:rsidR="008C4823" w:rsidRPr="00844479" w:rsidRDefault="008C4823" w:rsidP="00844479">
      <w:pPr>
        <w:pStyle w:val="NoSpacing"/>
        <w:ind w:right="-613"/>
        <w:rPr>
          <w:b/>
          <w:bCs/>
        </w:rPr>
      </w:pPr>
      <w:bookmarkStart w:id="8" w:name="_Toc95989339"/>
      <w:r w:rsidRPr="00844479">
        <w:rPr>
          <w:b/>
          <w:bCs/>
        </w:rPr>
        <w:t>Expenditure/Income</w:t>
      </w:r>
      <w:bookmarkEnd w:id="8"/>
    </w:p>
    <w:p w14:paraId="62E2B6FB" w14:textId="77777777" w:rsidR="008C4823" w:rsidRDefault="000E5A3D" w:rsidP="00964AE5">
      <w:pPr>
        <w:pStyle w:val="NoSpacing"/>
        <w:ind w:right="-613"/>
      </w:pPr>
      <w:r>
        <w:t xml:space="preserve">All expenditure shall be properly authorised and documented; all income shall be paid into the bank without delay. </w:t>
      </w:r>
    </w:p>
    <w:p w14:paraId="5682EAAF" w14:textId="77777777" w:rsidR="006A2BC7" w:rsidRDefault="00452BF3" w:rsidP="00844479">
      <w:pPr>
        <w:pStyle w:val="NoSpacing"/>
        <w:ind w:right="-613"/>
      </w:pPr>
      <w:bookmarkStart w:id="9" w:name="_Toc95989340"/>
      <w:r w:rsidRPr="00844479">
        <w:rPr>
          <w:b/>
          <w:bCs/>
        </w:rPr>
        <w:t>R</w:t>
      </w:r>
      <w:r w:rsidR="008C4823" w:rsidRPr="00844479">
        <w:rPr>
          <w:b/>
          <w:bCs/>
        </w:rPr>
        <w:t xml:space="preserve">isk </w:t>
      </w:r>
      <w:bookmarkEnd w:id="9"/>
      <w:r w:rsidR="004D1F37">
        <w:rPr>
          <w:b/>
          <w:bCs/>
        </w:rPr>
        <w:t>Review</w:t>
      </w:r>
      <w:r w:rsidR="006A2BC7" w:rsidRPr="006A2BC7">
        <w:t xml:space="preserve"> </w:t>
      </w:r>
    </w:p>
    <w:p w14:paraId="4899D6C8" w14:textId="41E05753" w:rsidR="008C4823" w:rsidRPr="006A2BC7" w:rsidRDefault="006A2BC7" w:rsidP="00844479">
      <w:pPr>
        <w:pStyle w:val="NoSpacing"/>
        <w:ind w:right="-613"/>
      </w:pPr>
      <w:r w:rsidRPr="006A2BC7">
        <w:t>The Committee will conduct an annual financial review of all activities and expenditures to ensure transparency, accountability, and effective use of resources.</w:t>
      </w:r>
    </w:p>
    <w:p w14:paraId="6D512FDB" w14:textId="77777777" w:rsidR="006A2BC7" w:rsidRPr="00844479" w:rsidRDefault="006A2BC7" w:rsidP="00844479">
      <w:pPr>
        <w:pStyle w:val="NoSpacing"/>
        <w:ind w:right="-613"/>
        <w:rPr>
          <w:b/>
          <w:bCs/>
        </w:rPr>
      </w:pPr>
    </w:p>
    <w:p w14:paraId="16F1DECE" w14:textId="38DD87E4" w:rsidR="00452BF3" w:rsidRPr="00844479" w:rsidRDefault="000E5A3D" w:rsidP="006A2BC7">
      <w:pPr>
        <w:pStyle w:val="Heading1"/>
        <w:numPr>
          <w:ilvl w:val="0"/>
          <w:numId w:val="22"/>
        </w:numPr>
        <w:ind w:right="-613"/>
      </w:pPr>
      <w:bookmarkStart w:id="10" w:name="_Toc95989341"/>
      <w:r w:rsidRPr="00844479">
        <w:lastRenderedPageBreak/>
        <w:t>Financial Records</w:t>
      </w:r>
      <w:bookmarkEnd w:id="10"/>
      <w:r w:rsidRPr="00844479">
        <w:t xml:space="preserve"> </w:t>
      </w:r>
    </w:p>
    <w:p w14:paraId="221971A5" w14:textId="77777777" w:rsidR="00452BF3" w:rsidRDefault="000E5A3D" w:rsidP="00964AE5">
      <w:pPr>
        <w:pStyle w:val="NoSpacing"/>
        <w:ind w:right="-613"/>
      </w:pPr>
      <w:r>
        <w:t xml:space="preserve">The following records shall be kept up to date by the treasurer: </w:t>
      </w:r>
    </w:p>
    <w:p w14:paraId="12ABA13E" w14:textId="0D99FD14" w:rsidR="00452BF3" w:rsidRDefault="000E5A3D" w:rsidP="00E832A8">
      <w:pPr>
        <w:pStyle w:val="NoSpacing"/>
        <w:ind w:right="-613" w:firstLine="720"/>
      </w:pPr>
      <w:r>
        <w:t xml:space="preserve">a) </w:t>
      </w:r>
      <w:r w:rsidR="00452BF3">
        <w:t xml:space="preserve">maintain a record of all </w:t>
      </w:r>
      <w:r>
        <w:t xml:space="preserve">transactions in the </w:t>
      </w:r>
      <w:r w:rsidR="00E832A8">
        <w:t>PVH</w:t>
      </w:r>
      <w:r>
        <w:t xml:space="preserve"> bank account(s). </w:t>
      </w:r>
    </w:p>
    <w:p w14:paraId="278D07AF" w14:textId="7C849307" w:rsidR="00452BF3" w:rsidRDefault="000E5A3D" w:rsidP="00E832A8">
      <w:pPr>
        <w:pStyle w:val="NoSpacing"/>
        <w:ind w:right="-613" w:firstLine="720"/>
      </w:pPr>
      <w:r>
        <w:t xml:space="preserve">b) </w:t>
      </w:r>
      <w:r w:rsidR="00452BF3">
        <w:t>maintain a record of</w:t>
      </w:r>
      <w:r>
        <w:t xml:space="preserve"> </w:t>
      </w:r>
      <w:r w:rsidR="00F13C27">
        <w:t xml:space="preserve">all </w:t>
      </w:r>
      <w:r w:rsidR="002837BB">
        <w:t>risks, liabilities.</w:t>
      </w:r>
    </w:p>
    <w:p w14:paraId="536E5D61" w14:textId="09FB1584" w:rsidR="002837BB" w:rsidRDefault="0073663C" w:rsidP="00E832A8">
      <w:pPr>
        <w:pStyle w:val="NoSpacing"/>
        <w:ind w:right="-613" w:firstLine="720"/>
      </w:pPr>
      <w:r>
        <w:t>c) Build and maintain a Contracts Register</w:t>
      </w:r>
    </w:p>
    <w:p w14:paraId="7D967474" w14:textId="7457D9F8" w:rsidR="0073663C" w:rsidRDefault="0073663C" w:rsidP="00E832A8">
      <w:pPr>
        <w:pStyle w:val="NoSpacing"/>
        <w:ind w:right="-613" w:firstLine="720"/>
      </w:pPr>
      <w:r>
        <w:t>d) Build and maintain an Assets Register.</w:t>
      </w:r>
    </w:p>
    <w:p w14:paraId="017DF956" w14:textId="77777777" w:rsidR="00452BF3" w:rsidRDefault="000E5A3D" w:rsidP="00844479">
      <w:pPr>
        <w:pStyle w:val="Heading1"/>
        <w:numPr>
          <w:ilvl w:val="0"/>
          <w:numId w:val="22"/>
        </w:numPr>
        <w:ind w:right="-613"/>
      </w:pPr>
      <w:bookmarkStart w:id="11" w:name="_Toc95989342"/>
      <w:r>
        <w:t>Payment Procedure</w:t>
      </w:r>
      <w:bookmarkEnd w:id="11"/>
    </w:p>
    <w:p w14:paraId="6D188469" w14:textId="37EDBDEC" w:rsidR="008C05B5" w:rsidRDefault="007A2AF5" w:rsidP="007A2AF5">
      <w:pPr>
        <w:pStyle w:val="NoSpacing"/>
        <w:numPr>
          <w:ilvl w:val="0"/>
          <w:numId w:val="20"/>
        </w:numPr>
        <w:ind w:right="-613"/>
      </w:pPr>
      <w:r>
        <w:t xml:space="preserve">All payments will be paid by </w:t>
      </w:r>
      <w:r w:rsidR="0073663C">
        <w:t>bank transfer or Direct Debit</w:t>
      </w:r>
      <w:r w:rsidR="008C05B5">
        <w:t xml:space="preserve"> against an</w:t>
      </w:r>
      <w:r w:rsidR="00FC29CF">
        <w:t xml:space="preserve"> approved</w:t>
      </w:r>
      <w:r w:rsidR="008C05B5">
        <w:t xml:space="preserve"> invoice.</w:t>
      </w:r>
    </w:p>
    <w:p w14:paraId="091FFB53" w14:textId="7C835B56" w:rsidR="008C05B5" w:rsidRDefault="008C05B5" w:rsidP="007A2AF5">
      <w:pPr>
        <w:pStyle w:val="NoSpacing"/>
        <w:numPr>
          <w:ilvl w:val="0"/>
          <w:numId w:val="20"/>
        </w:numPr>
        <w:ind w:right="-613"/>
      </w:pPr>
      <w:r>
        <w:t>All invoices will be verified against an agreed budget</w:t>
      </w:r>
      <w:r w:rsidR="00FC29CF">
        <w:t>.</w:t>
      </w:r>
    </w:p>
    <w:p w14:paraId="291DFDE6" w14:textId="02998F1C" w:rsidR="0049063C" w:rsidRDefault="0049063C" w:rsidP="007A2AF5">
      <w:pPr>
        <w:pStyle w:val="NoSpacing"/>
        <w:numPr>
          <w:ilvl w:val="0"/>
          <w:numId w:val="20"/>
        </w:numPr>
        <w:ind w:right="-613"/>
      </w:pPr>
      <w:r>
        <w:t xml:space="preserve">Any expenditure over £1,000 other than utility costs </w:t>
      </w:r>
      <w:r w:rsidR="0025603B">
        <w:t>need</w:t>
      </w:r>
      <w:r>
        <w:t xml:space="preserve"> to be agreed with the committee.</w:t>
      </w:r>
    </w:p>
    <w:p w14:paraId="5412B20A" w14:textId="77777777" w:rsidR="005E27A4" w:rsidRDefault="000E5A3D" w:rsidP="007273D2">
      <w:pPr>
        <w:pStyle w:val="Heading1"/>
        <w:numPr>
          <w:ilvl w:val="0"/>
          <w:numId w:val="22"/>
        </w:numPr>
        <w:ind w:right="-613"/>
      </w:pPr>
      <w:bookmarkStart w:id="12" w:name="_Toc95989343"/>
      <w:r>
        <w:t>Income Procedure</w:t>
      </w:r>
      <w:bookmarkEnd w:id="12"/>
      <w:r>
        <w:t xml:space="preserve"> </w:t>
      </w:r>
    </w:p>
    <w:p w14:paraId="2BB24602" w14:textId="45C4756F" w:rsidR="005E27A4" w:rsidRDefault="000E5A3D" w:rsidP="00256451">
      <w:pPr>
        <w:pStyle w:val="NoSpacing"/>
        <w:numPr>
          <w:ilvl w:val="0"/>
          <w:numId w:val="20"/>
        </w:numPr>
        <w:ind w:right="-613"/>
      </w:pPr>
      <w:r>
        <w:t>All income will be paid into the bank</w:t>
      </w:r>
      <w:r w:rsidR="00F13C27">
        <w:t>, h</w:t>
      </w:r>
      <w:r>
        <w:t xml:space="preserve">iring agreement forms showing conditions of hire, date, purpose of hire, and total due on </w:t>
      </w:r>
      <w:r w:rsidR="000A1DCA">
        <w:t xml:space="preserve">the </w:t>
      </w:r>
      <w:r>
        <w:t>booking</w:t>
      </w:r>
      <w:r w:rsidR="00F13C27">
        <w:t xml:space="preserve"> form</w:t>
      </w:r>
      <w:r>
        <w:t xml:space="preserve">. </w:t>
      </w:r>
    </w:p>
    <w:p w14:paraId="6CFF6AFB" w14:textId="72894573" w:rsidR="005E27A4" w:rsidRDefault="000E5A3D" w:rsidP="007273D2">
      <w:pPr>
        <w:pStyle w:val="Heading1"/>
        <w:numPr>
          <w:ilvl w:val="0"/>
          <w:numId w:val="22"/>
        </w:numPr>
        <w:ind w:right="-613"/>
      </w:pPr>
      <w:bookmarkStart w:id="13" w:name="_Toc95989344"/>
      <w:r>
        <w:t>Payment Documentation</w:t>
      </w:r>
      <w:bookmarkEnd w:id="13"/>
      <w:r>
        <w:t xml:space="preserve"> </w:t>
      </w:r>
    </w:p>
    <w:p w14:paraId="3BE96717" w14:textId="62A3C115" w:rsidR="005E27A4" w:rsidRDefault="000E5A3D" w:rsidP="00964AE5">
      <w:pPr>
        <w:pStyle w:val="NoSpacing"/>
        <w:numPr>
          <w:ilvl w:val="0"/>
          <w:numId w:val="21"/>
        </w:numPr>
        <w:ind w:right="-613"/>
      </w:pPr>
      <w:r>
        <w:t>Every payment out of the bank accounts will be evidenced by an original invoice</w:t>
      </w:r>
      <w:r w:rsidR="00446984">
        <w:t xml:space="preserve"> or Direct Debit/Standing Order agreement</w:t>
      </w:r>
      <w:r w:rsidR="00157901">
        <w:t>.</w:t>
      </w:r>
    </w:p>
    <w:p w14:paraId="03B7BD4A" w14:textId="6199DA27" w:rsidR="00446984" w:rsidRDefault="005D3576" w:rsidP="00964AE5">
      <w:pPr>
        <w:pStyle w:val="NoSpacing"/>
        <w:numPr>
          <w:ilvl w:val="0"/>
          <w:numId w:val="21"/>
        </w:numPr>
        <w:ind w:right="-613"/>
      </w:pPr>
      <w:r>
        <w:t>Where possible all payments will be made by bank transfer.  The Treasurer will verify the payment and set it up within the on-line banking application</w:t>
      </w:r>
      <w:r w:rsidR="00157901">
        <w:t>.</w:t>
      </w:r>
    </w:p>
    <w:p w14:paraId="01F7E069" w14:textId="7B938952" w:rsidR="005E27A4" w:rsidRDefault="000E5A3D" w:rsidP="00964AE5">
      <w:pPr>
        <w:pStyle w:val="NoSpacing"/>
        <w:numPr>
          <w:ilvl w:val="0"/>
          <w:numId w:val="21"/>
        </w:numPr>
        <w:ind w:right="-613"/>
      </w:pPr>
      <w:r>
        <w:t xml:space="preserve">Any staff appointments/departures will be authorised by </w:t>
      </w:r>
      <w:r w:rsidR="00E333CE">
        <w:t>the Committee</w:t>
      </w:r>
      <w:r>
        <w:t xml:space="preserve">, minuting the dates and salary level. Similarly, all changes in hours and variable payments such as overtime, etc, will be authorised by </w:t>
      </w:r>
      <w:r w:rsidR="00E333CE">
        <w:t>the Committee</w:t>
      </w:r>
      <w:r>
        <w:t xml:space="preserve">. </w:t>
      </w:r>
    </w:p>
    <w:p w14:paraId="671A2913" w14:textId="396C8FE5" w:rsidR="005A5200" w:rsidRDefault="005A5200" w:rsidP="007273D2">
      <w:pPr>
        <w:pStyle w:val="Heading1"/>
        <w:numPr>
          <w:ilvl w:val="0"/>
          <w:numId w:val="22"/>
        </w:numPr>
        <w:ind w:right="-613"/>
      </w:pPr>
      <w:bookmarkStart w:id="14" w:name="_Toc95989345"/>
      <w:r>
        <w:t>Policy A</w:t>
      </w:r>
      <w:r w:rsidR="00771A59">
        <w:t xml:space="preserve">doption and </w:t>
      </w:r>
      <w:r>
        <w:t>Review</w:t>
      </w:r>
      <w:bookmarkEnd w:id="14"/>
    </w:p>
    <w:p w14:paraId="14D924A1" w14:textId="10CA5AA5" w:rsidR="001E62CD" w:rsidRDefault="001E62CD" w:rsidP="001E62CD">
      <w:pPr>
        <w:pStyle w:val="NoSpacing"/>
        <w:ind w:right="-613"/>
        <w:rPr>
          <w:lang w:eastAsia="en-GB"/>
        </w:rPr>
      </w:pPr>
      <w:r w:rsidRPr="001E62CD">
        <w:rPr>
          <w:lang w:eastAsia="en-GB"/>
        </w:rPr>
        <w:t>This policy was adopted by the Padworth Village Hall Committee at the Annual General Meeting 2022 and will be reviewed annually thereafter.</w:t>
      </w:r>
    </w:p>
    <w:p w14:paraId="65F2B1B7" w14:textId="77777777" w:rsidR="0038476D" w:rsidRDefault="0038476D" w:rsidP="001E62CD">
      <w:pPr>
        <w:pStyle w:val="NoSpacing"/>
        <w:ind w:right="-613"/>
        <w:rPr>
          <w:lang w:eastAsia="en-GB"/>
        </w:rPr>
      </w:pPr>
    </w:p>
    <w:p w14:paraId="59509E81" w14:textId="77777777" w:rsidR="0038476D" w:rsidRDefault="0038476D" w:rsidP="0038476D">
      <w:pPr>
        <w:pStyle w:val="NoSpacing"/>
        <w:rPr>
          <w:lang w:eastAsia="en-GB"/>
        </w:rPr>
      </w:pPr>
      <w:r>
        <w:rPr>
          <w:lang w:eastAsia="en-GB"/>
        </w:rPr>
        <w:t xml:space="preserve">Signed </w:t>
      </w:r>
    </w:p>
    <w:p w14:paraId="04DDAC4F" w14:textId="77777777" w:rsidR="0038476D" w:rsidRDefault="0038476D" w:rsidP="0038476D">
      <w:pPr>
        <w:pStyle w:val="NoSpacing"/>
        <w:rPr>
          <w:lang w:eastAsia="en-GB"/>
        </w:rPr>
      </w:pPr>
    </w:p>
    <w:p w14:paraId="65877DC2" w14:textId="77777777" w:rsidR="0038476D" w:rsidRDefault="0038476D" w:rsidP="0038476D">
      <w:pPr>
        <w:pStyle w:val="NoSpacing"/>
        <w:rPr>
          <w:lang w:eastAsia="en-GB"/>
        </w:rPr>
      </w:pPr>
    </w:p>
    <w:p w14:paraId="19F072FD" w14:textId="77777777" w:rsidR="0038476D" w:rsidRDefault="0038476D" w:rsidP="0038476D">
      <w:pPr>
        <w:pStyle w:val="NoSpacing"/>
        <w:rPr>
          <w:lang w:eastAsia="en-GB"/>
        </w:rPr>
      </w:pPr>
    </w:p>
    <w:p w14:paraId="387822E3" w14:textId="77777777" w:rsidR="0038476D" w:rsidRDefault="0038476D" w:rsidP="0038476D">
      <w:pPr>
        <w:pStyle w:val="NoSpacing"/>
        <w:rPr>
          <w:lang w:eastAsia="en-GB"/>
        </w:rPr>
      </w:pPr>
    </w:p>
    <w:p w14:paraId="73DF232C" w14:textId="77777777" w:rsidR="0038476D" w:rsidRDefault="0038476D" w:rsidP="0038476D">
      <w:pPr>
        <w:pStyle w:val="NoSpacing"/>
        <w:rPr>
          <w:lang w:eastAsia="en-GB"/>
        </w:rPr>
      </w:pPr>
    </w:p>
    <w:p w14:paraId="52553E7A" w14:textId="77777777" w:rsidR="0038476D" w:rsidRPr="00082E06" w:rsidRDefault="0038476D" w:rsidP="0038476D">
      <w:pPr>
        <w:pStyle w:val="NoSpacing"/>
        <w:rPr>
          <w:lang w:eastAsia="en-GB"/>
        </w:rPr>
      </w:pPr>
      <w:r>
        <w:rPr>
          <w:lang w:eastAsia="en-GB"/>
        </w:rPr>
        <w:t>On behalf of PVH Committee</w:t>
      </w:r>
    </w:p>
    <w:sectPr w:rsidR="0038476D" w:rsidRPr="00082E0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6D37F" w14:textId="77777777" w:rsidR="004A421F" w:rsidRDefault="004A421F" w:rsidP="004A421F">
      <w:pPr>
        <w:spacing w:after="0" w:line="240" w:lineRule="auto"/>
      </w:pPr>
      <w:r>
        <w:separator/>
      </w:r>
    </w:p>
  </w:endnote>
  <w:endnote w:type="continuationSeparator" w:id="0">
    <w:p w14:paraId="0BF78998" w14:textId="77777777" w:rsidR="004A421F" w:rsidRDefault="004A421F" w:rsidP="004A4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21F48" w14:textId="0EBF2ED7" w:rsidR="006544FB" w:rsidRPr="006544FB" w:rsidRDefault="006544FB">
    <w:pPr>
      <w:pStyle w:val="Footer"/>
      <w:rPr>
        <w:color w:val="385623" w:themeColor="accent6" w:themeShade="80"/>
        <w:sz w:val="18"/>
        <w:szCs w:val="18"/>
      </w:rPr>
    </w:pPr>
    <w:r w:rsidRPr="006544FB">
      <w:rPr>
        <w:color w:val="385623" w:themeColor="accent6" w:themeShade="80"/>
        <w:sz w:val="18"/>
        <w:szCs w:val="18"/>
      </w:rPr>
      <w:t>____________________________________________________________________________________________________</w:t>
    </w:r>
  </w:p>
  <w:p w14:paraId="6F89007C" w14:textId="3239BA92" w:rsidR="006544FB" w:rsidRPr="00964AE5" w:rsidRDefault="006544FB">
    <w:pPr>
      <w:pStyle w:val="Footer"/>
      <w:rPr>
        <w:b/>
        <w:bCs/>
        <w:color w:val="385623" w:themeColor="accent6" w:themeShade="80"/>
        <w:sz w:val="18"/>
        <w:szCs w:val="18"/>
      </w:rPr>
    </w:pPr>
    <w:r w:rsidRPr="00964AE5">
      <w:rPr>
        <w:color w:val="385623" w:themeColor="accent6" w:themeShade="80"/>
        <w:sz w:val="18"/>
        <w:szCs w:val="18"/>
      </w:rPr>
      <w:t xml:space="preserve">Padworth Village Hall                                                        </w:t>
    </w:r>
    <w:r w:rsidR="005D3576" w:rsidRPr="00964AE5">
      <w:rPr>
        <w:color w:val="385623" w:themeColor="accent6" w:themeShade="80"/>
        <w:sz w:val="18"/>
        <w:szCs w:val="18"/>
      </w:rPr>
      <w:t>Finance</w:t>
    </w:r>
    <w:r w:rsidR="009438BD" w:rsidRPr="00964AE5">
      <w:rPr>
        <w:color w:val="385623" w:themeColor="accent6" w:themeShade="80"/>
        <w:sz w:val="18"/>
        <w:szCs w:val="18"/>
      </w:rPr>
      <w:t xml:space="preserve"> P</w:t>
    </w:r>
    <w:r w:rsidR="00C32C6F" w:rsidRPr="00964AE5">
      <w:rPr>
        <w:color w:val="385623" w:themeColor="accent6" w:themeShade="80"/>
        <w:sz w:val="18"/>
        <w:szCs w:val="18"/>
      </w:rPr>
      <w:t>olicy</w:t>
    </w:r>
    <w:r w:rsidRPr="00964AE5">
      <w:rPr>
        <w:color w:val="385623" w:themeColor="accent6" w:themeShade="80"/>
        <w:sz w:val="18"/>
        <w:szCs w:val="18"/>
      </w:rPr>
      <w:t xml:space="preserve">                         </w:t>
    </w:r>
    <w:r w:rsidRPr="00964AE5">
      <w:rPr>
        <w:color w:val="385623" w:themeColor="accent6" w:themeShade="80"/>
        <w:sz w:val="18"/>
        <w:szCs w:val="18"/>
      </w:rPr>
      <w:tab/>
      <w:t xml:space="preserve">Page </w:t>
    </w:r>
    <w:r w:rsidRPr="00964AE5">
      <w:rPr>
        <w:b/>
        <w:bCs/>
        <w:color w:val="385623" w:themeColor="accent6" w:themeShade="80"/>
        <w:sz w:val="18"/>
        <w:szCs w:val="18"/>
      </w:rPr>
      <w:fldChar w:fldCharType="begin"/>
    </w:r>
    <w:r w:rsidRPr="00964AE5">
      <w:rPr>
        <w:b/>
        <w:bCs/>
        <w:color w:val="385623" w:themeColor="accent6" w:themeShade="80"/>
        <w:sz w:val="18"/>
        <w:szCs w:val="18"/>
      </w:rPr>
      <w:instrText xml:space="preserve"> PAGE  \* Arabic  \* MERGEFORMAT </w:instrText>
    </w:r>
    <w:r w:rsidRPr="00964AE5">
      <w:rPr>
        <w:b/>
        <w:bCs/>
        <w:color w:val="385623" w:themeColor="accent6" w:themeShade="80"/>
        <w:sz w:val="18"/>
        <w:szCs w:val="18"/>
      </w:rPr>
      <w:fldChar w:fldCharType="separate"/>
    </w:r>
    <w:r w:rsidRPr="00964AE5">
      <w:rPr>
        <w:b/>
        <w:bCs/>
        <w:noProof/>
        <w:color w:val="385623" w:themeColor="accent6" w:themeShade="80"/>
        <w:sz w:val="18"/>
        <w:szCs w:val="18"/>
      </w:rPr>
      <w:t>1</w:t>
    </w:r>
    <w:r w:rsidRPr="00964AE5">
      <w:rPr>
        <w:b/>
        <w:bCs/>
        <w:color w:val="385623" w:themeColor="accent6" w:themeShade="80"/>
        <w:sz w:val="18"/>
        <w:szCs w:val="18"/>
      </w:rPr>
      <w:fldChar w:fldCharType="end"/>
    </w:r>
    <w:r w:rsidRPr="00964AE5">
      <w:rPr>
        <w:color w:val="385623" w:themeColor="accent6" w:themeShade="80"/>
        <w:sz w:val="18"/>
        <w:szCs w:val="18"/>
      </w:rPr>
      <w:t xml:space="preserve"> of </w:t>
    </w:r>
    <w:r w:rsidRPr="00964AE5">
      <w:rPr>
        <w:b/>
        <w:bCs/>
        <w:color w:val="385623" w:themeColor="accent6" w:themeShade="80"/>
        <w:sz w:val="18"/>
        <w:szCs w:val="18"/>
      </w:rPr>
      <w:fldChar w:fldCharType="begin"/>
    </w:r>
    <w:r w:rsidRPr="00964AE5">
      <w:rPr>
        <w:b/>
        <w:bCs/>
        <w:color w:val="385623" w:themeColor="accent6" w:themeShade="80"/>
        <w:sz w:val="18"/>
        <w:szCs w:val="18"/>
      </w:rPr>
      <w:instrText xml:space="preserve"> NUMPAGES  \* Arabic  \* MERGEFORMAT </w:instrText>
    </w:r>
    <w:r w:rsidRPr="00964AE5">
      <w:rPr>
        <w:b/>
        <w:bCs/>
        <w:color w:val="385623" w:themeColor="accent6" w:themeShade="80"/>
        <w:sz w:val="18"/>
        <w:szCs w:val="18"/>
      </w:rPr>
      <w:fldChar w:fldCharType="separate"/>
    </w:r>
    <w:r w:rsidRPr="00964AE5">
      <w:rPr>
        <w:b/>
        <w:bCs/>
        <w:noProof/>
        <w:color w:val="385623" w:themeColor="accent6" w:themeShade="80"/>
        <w:sz w:val="18"/>
        <w:szCs w:val="18"/>
      </w:rPr>
      <w:t>2</w:t>
    </w:r>
    <w:r w:rsidRPr="00964AE5">
      <w:rPr>
        <w:b/>
        <w:bCs/>
        <w:color w:val="385623" w:themeColor="accent6" w:themeShade="80"/>
        <w:sz w:val="18"/>
        <w:szCs w:val="18"/>
      </w:rPr>
      <w:fldChar w:fldCharType="end"/>
    </w:r>
  </w:p>
  <w:p w14:paraId="16790A2F" w14:textId="1C84B7FE" w:rsidR="006544FB" w:rsidRPr="00964AE5" w:rsidRDefault="006544FB" w:rsidP="006544FB">
    <w:pPr>
      <w:pStyle w:val="Footer"/>
      <w:jc w:val="right"/>
      <w:rPr>
        <w:b/>
        <w:bCs/>
        <w:color w:val="385623" w:themeColor="accent6" w:themeShade="80"/>
        <w:sz w:val="18"/>
        <w:szCs w:val="18"/>
      </w:rPr>
    </w:pPr>
    <w:r w:rsidRPr="00964AE5">
      <w:rPr>
        <w:b/>
        <w:bCs/>
        <w:color w:val="385623" w:themeColor="accent6" w:themeShade="80"/>
        <w:sz w:val="18"/>
        <w:szCs w:val="18"/>
      </w:rPr>
      <w:t xml:space="preserve">Issue Date: </w:t>
    </w:r>
    <w:r w:rsidR="00FD0694">
      <w:rPr>
        <w:b/>
        <w:bCs/>
        <w:color w:val="385623" w:themeColor="accent6" w:themeShade="80"/>
        <w:sz w:val="18"/>
        <w:szCs w:val="18"/>
      </w:rPr>
      <w:t>Dec 2023</w:t>
    </w:r>
  </w:p>
  <w:p w14:paraId="2B50AC92" w14:textId="5B8292A7" w:rsidR="006544FB" w:rsidRPr="00964AE5" w:rsidRDefault="004868C5" w:rsidP="006544FB">
    <w:pPr>
      <w:pStyle w:val="Footer"/>
      <w:jc w:val="right"/>
      <w:rPr>
        <w:color w:val="385623" w:themeColor="accent6" w:themeShade="80"/>
        <w:sz w:val="18"/>
        <w:szCs w:val="18"/>
      </w:rPr>
    </w:pPr>
    <w:r>
      <w:rPr>
        <w:b/>
        <w:bCs/>
        <w:color w:val="385623" w:themeColor="accent6" w:themeShade="80"/>
        <w:sz w:val="18"/>
        <w:szCs w:val="18"/>
      </w:rPr>
      <w:t xml:space="preserve">Last reviewed date: </w:t>
    </w:r>
    <w:r w:rsidR="007273D2">
      <w:rPr>
        <w:b/>
        <w:bCs/>
        <w:color w:val="385623" w:themeColor="accent6" w:themeShade="80"/>
        <w:sz w:val="18"/>
        <w:szCs w:val="18"/>
      </w:rPr>
      <w:t>Jan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C1A85" w14:textId="77777777" w:rsidR="004A421F" w:rsidRDefault="004A421F" w:rsidP="004A421F">
      <w:pPr>
        <w:spacing w:after="0" w:line="240" w:lineRule="auto"/>
      </w:pPr>
      <w:r>
        <w:separator/>
      </w:r>
    </w:p>
  </w:footnote>
  <w:footnote w:type="continuationSeparator" w:id="0">
    <w:p w14:paraId="13AC3535" w14:textId="77777777" w:rsidR="004A421F" w:rsidRDefault="004A421F" w:rsidP="004A4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C3BFB" w14:textId="77777777" w:rsidR="0094414E" w:rsidRPr="00822B94" w:rsidRDefault="0094414E" w:rsidP="0094414E">
    <w:pPr>
      <w:pStyle w:val="Header"/>
      <w:shd w:val="clear" w:color="auto" w:fill="385623" w:themeFill="accent6" w:themeFillShade="80"/>
      <w:tabs>
        <w:tab w:val="clear" w:pos="9026"/>
      </w:tabs>
      <w:ind w:left="-567" w:right="-613"/>
      <w:jc w:val="center"/>
      <w:rPr>
        <w:rFonts w:cstheme="minorHAnsi"/>
        <w:color w:val="FFD966" w:themeColor="accent4" w:themeTint="99"/>
        <w:sz w:val="40"/>
        <w:szCs w:val="40"/>
      </w:rPr>
    </w:pPr>
    <w:bookmarkStart w:id="15" w:name="_Hlk95983467"/>
    <w:r w:rsidRPr="00822B94">
      <w:rPr>
        <w:rFonts w:cstheme="minorHAnsi"/>
        <w:color w:val="FFD966" w:themeColor="accent4" w:themeTint="99"/>
        <w:sz w:val="40"/>
        <w:szCs w:val="40"/>
      </w:rPr>
      <w:t>Padworth Village Hall</w:t>
    </w:r>
  </w:p>
  <w:p w14:paraId="04FBC375" w14:textId="07ACAA4E" w:rsidR="0094414E" w:rsidRPr="00822B94" w:rsidRDefault="0094414E" w:rsidP="0094414E">
    <w:pPr>
      <w:pStyle w:val="Header"/>
      <w:shd w:val="clear" w:color="auto" w:fill="385623" w:themeFill="accent6" w:themeFillShade="80"/>
      <w:tabs>
        <w:tab w:val="clear" w:pos="9026"/>
      </w:tabs>
      <w:ind w:left="-567" w:right="-613"/>
      <w:jc w:val="center"/>
      <w:rPr>
        <w:rStyle w:val="Hyperlink"/>
        <w:rFonts w:cstheme="minorHAnsi"/>
        <w:color w:val="FFD966" w:themeColor="accent4" w:themeTint="99"/>
        <w:sz w:val="20"/>
        <w:szCs w:val="20"/>
      </w:rPr>
    </w:pPr>
    <w:r w:rsidRPr="00822B94">
      <w:rPr>
        <w:rFonts w:cstheme="minorHAnsi"/>
        <w:color w:val="FFD966" w:themeColor="accent4" w:themeTint="99"/>
      </w:rPr>
      <w:t>Padworth Lane, Padworth, Reading, Berkshire, RG7 4HY</w:t>
    </w:r>
    <w:r w:rsidRPr="00822B94">
      <w:rPr>
        <w:rFonts w:cstheme="minorHAnsi"/>
        <w:color w:val="FFD966" w:themeColor="accent4" w:themeTint="99"/>
      </w:rPr>
      <w:br/>
    </w:r>
    <w:r w:rsidRPr="00822B94">
      <w:rPr>
        <w:rFonts w:cstheme="minorHAnsi"/>
        <w:color w:val="FFD966" w:themeColor="accent4" w:themeTint="99"/>
        <w:sz w:val="20"/>
        <w:szCs w:val="20"/>
      </w:rPr>
      <w:t>Registered Charity 300187</w:t>
    </w:r>
  </w:p>
  <w:bookmarkEnd w:id="15"/>
  <w:p w14:paraId="10ACD62B" w14:textId="383E76FD" w:rsidR="004A421F" w:rsidRDefault="004A421F" w:rsidP="00964AE5">
    <w:pPr>
      <w:pStyle w:val="Header"/>
      <w:shd w:val="clear" w:color="auto" w:fill="385623" w:themeFill="accent6" w:themeFillShade="80"/>
      <w:tabs>
        <w:tab w:val="clear" w:pos="9026"/>
        <w:tab w:val="left" w:pos="8950"/>
      </w:tabs>
      <w:ind w:left="-567" w:right="-613"/>
    </w:pPr>
    <w:r w:rsidRPr="00BF150E">
      <w:rPr>
        <w:rStyle w:val="Hyperlink"/>
        <w:rFonts w:ascii="Arial" w:hAnsi="Arial" w:cs="Arial"/>
        <w:color w:val="FFD966" w:themeColor="accent4" w:themeTint="99"/>
      </w:rPr>
      <w:t>_________________________________________________________________________</w:t>
    </w:r>
    <w:r w:rsidR="00964AE5">
      <w:rPr>
        <w:rStyle w:val="Hyperlink"/>
        <w:rFonts w:ascii="Arial" w:hAnsi="Arial" w:cs="Arial"/>
        <w:color w:val="FFD966" w:themeColor="accent4" w:themeTint="99"/>
      </w:rPr>
      <w:tab/>
      <w:t>_____</w:t>
    </w:r>
  </w:p>
  <w:p w14:paraId="3A7224D3" w14:textId="77777777" w:rsidR="004A421F" w:rsidRDefault="004A42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1FE0"/>
    <w:multiLevelType w:val="hybridMultilevel"/>
    <w:tmpl w:val="17FEAFF4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2BD0D4B"/>
    <w:multiLevelType w:val="hybridMultilevel"/>
    <w:tmpl w:val="41D27E1E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>
      <w:start w:val="1"/>
      <w:numFmt w:val="lowerLetter"/>
      <w:lvlText w:val="%2."/>
      <w:lvlJc w:val="left"/>
      <w:pPr>
        <w:ind w:left="1866" w:hanging="360"/>
      </w:pPr>
    </w:lvl>
    <w:lvl w:ilvl="2" w:tplc="0809001B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4553A91"/>
    <w:multiLevelType w:val="hybridMultilevel"/>
    <w:tmpl w:val="102CD1EA"/>
    <w:lvl w:ilvl="0" w:tplc="0809001B">
      <w:start w:val="1"/>
      <w:numFmt w:val="lowerRoman"/>
      <w:lvlText w:val="%1."/>
      <w:lvlJc w:val="right"/>
      <w:pPr>
        <w:ind w:left="107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5C6139D"/>
    <w:multiLevelType w:val="hybridMultilevel"/>
    <w:tmpl w:val="332C986C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9FC0CA8"/>
    <w:multiLevelType w:val="hybridMultilevel"/>
    <w:tmpl w:val="943A02C4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>
      <w:start w:val="1"/>
      <w:numFmt w:val="lowerLetter"/>
      <w:lvlText w:val="%2."/>
      <w:lvlJc w:val="left"/>
      <w:pPr>
        <w:ind w:left="1866" w:hanging="360"/>
      </w:pPr>
    </w:lvl>
    <w:lvl w:ilvl="2" w:tplc="0809001B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2024D3B"/>
    <w:multiLevelType w:val="hybridMultilevel"/>
    <w:tmpl w:val="F49EED64"/>
    <w:lvl w:ilvl="0" w:tplc="A0F0911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866" w:hanging="360"/>
      </w:pPr>
    </w:lvl>
    <w:lvl w:ilvl="2" w:tplc="0809001B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3B93556"/>
    <w:multiLevelType w:val="hybridMultilevel"/>
    <w:tmpl w:val="A224DFEA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E3C61CD"/>
    <w:multiLevelType w:val="hybridMultilevel"/>
    <w:tmpl w:val="5CC6739E"/>
    <w:lvl w:ilvl="0" w:tplc="0809001B">
      <w:start w:val="1"/>
      <w:numFmt w:val="lowerRoman"/>
      <w:lvlText w:val="%1."/>
      <w:lvlJc w:val="right"/>
      <w:pPr>
        <w:ind w:left="1146" w:hanging="360"/>
      </w:p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C9444E2"/>
    <w:multiLevelType w:val="hybridMultilevel"/>
    <w:tmpl w:val="CFEE9776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FDE5631"/>
    <w:multiLevelType w:val="multilevel"/>
    <w:tmpl w:val="BC0A44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0E48D7"/>
    <w:multiLevelType w:val="hybridMultilevel"/>
    <w:tmpl w:val="43AEE06E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B41389B"/>
    <w:multiLevelType w:val="hybridMultilevel"/>
    <w:tmpl w:val="BB809620"/>
    <w:lvl w:ilvl="0" w:tplc="08090011">
      <w:start w:val="1"/>
      <w:numFmt w:val="decimal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69D7D69"/>
    <w:multiLevelType w:val="hybridMultilevel"/>
    <w:tmpl w:val="CFE63910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674B75B1"/>
    <w:multiLevelType w:val="hybridMultilevel"/>
    <w:tmpl w:val="A9B88626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A8C4556"/>
    <w:multiLevelType w:val="multilevel"/>
    <w:tmpl w:val="56A8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EA92053"/>
    <w:multiLevelType w:val="hybridMultilevel"/>
    <w:tmpl w:val="6D7CA26A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6F9C7A8E"/>
    <w:multiLevelType w:val="multilevel"/>
    <w:tmpl w:val="D228D3C0"/>
    <w:lvl w:ilvl="0">
      <w:start w:val="1"/>
      <w:numFmt w:val="decimal"/>
      <w:pStyle w:val="Heading1"/>
      <w:lvlText w:val="%1."/>
      <w:lvlJc w:val="left"/>
      <w:pPr>
        <w:tabs>
          <w:tab w:val="num" w:pos="2421"/>
        </w:tabs>
        <w:ind w:left="2421" w:hanging="360"/>
      </w:pPr>
    </w:lvl>
    <w:lvl w:ilvl="1">
      <w:start w:val="1"/>
      <w:numFmt w:val="decimal"/>
      <w:lvlText w:val="%2."/>
      <w:lvlJc w:val="left"/>
      <w:pPr>
        <w:tabs>
          <w:tab w:val="num" w:pos="3141"/>
        </w:tabs>
        <w:ind w:left="3141" w:hanging="360"/>
      </w:pPr>
    </w:lvl>
    <w:lvl w:ilvl="2">
      <w:start w:val="1"/>
      <w:numFmt w:val="lowerLetter"/>
      <w:lvlText w:val="%3)"/>
      <w:lvlJc w:val="left"/>
      <w:pPr>
        <w:ind w:left="3861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entative="1">
      <w:start w:val="1"/>
      <w:numFmt w:val="decimal"/>
      <w:lvlText w:val="%5."/>
      <w:lvlJc w:val="left"/>
      <w:pPr>
        <w:tabs>
          <w:tab w:val="num" w:pos="5301"/>
        </w:tabs>
        <w:ind w:left="5301" w:hanging="360"/>
      </w:pPr>
    </w:lvl>
    <w:lvl w:ilvl="5" w:tentative="1">
      <w:start w:val="1"/>
      <w:numFmt w:val="decimal"/>
      <w:lvlText w:val="%6."/>
      <w:lvlJc w:val="left"/>
      <w:pPr>
        <w:tabs>
          <w:tab w:val="num" w:pos="6021"/>
        </w:tabs>
        <w:ind w:left="6021" w:hanging="360"/>
      </w:pPr>
    </w:lvl>
    <w:lvl w:ilvl="6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entative="1">
      <w:start w:val="1"/>
      <w:numFmt w:val="decimal"/>
      <w:lvlText w:val="%8."/>
      <w:lvlJc w:val="left"/>
      <w:pPr>
        <w:tabs>
          <w:tab w:val="num" w:pos="7461"/>
        </w:tabs>
        <w:ind w:left="7461" w:hanging="360"/>
      </w:pPr>
    </w:lvl>
    <w:lvl w:ilvl="8" w:tentative="1">
      <w:start w:val="1"/>
      <w:numFmt w:val="decimal"/>
      <w:lvlText w:val="%9."/>
      <w:lvlJc w:val="left"/>
      <w:pPr>
        <w:tabs>
          <w:tab w:val="num" w:pos="8181"/>
        </w:tabs>
        <w:ind w:left="8181" w:hanging="360"/>
      </w:pPr>
    </w:lvl>
  </w:abstractNum>
  <w:abstractNum w:abstractNumId="17" w15:restartNumberingAfterBreak="0">
    <w:nsid w:val="761421D1"/>
    <w:multiLevelType w:val="hybridMultilevel"/>
    <w:tmpl w:val="1818C87C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76241638"/>
    <w:multiLevelType w:val="hybridMultilevel"/>
    <w:tmpl w:val="6FA21D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277710"/>
    <w:multiLevelType w:val="hybridMultilevel"/>
    <w:tmpl w:val="F5820C50"/>
    <w:lvl w:ilvl="0" w:tplc="08090011">
      <w:start w:val="1"/>
      <w:numFmt w:val="decimal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77BF1B6F"/>
    <w:multiLevelType w:val="hybridMultilevel"/>
    <w:tmpl w:val="4FA25610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B5F385B"/>
    <w:multiLevelType w:val="hybridMultilevel"/>
    <w:tmpl w:val="9A9601E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927463">
    <w:abstractNumId w:val="16"/>
  </w:num>
  <w:num w:numId="2" w16cid:durableId="1307203973">
    <w:abstractNumId w:val="9"/>
  </w:num>
  <w:num w:numId="3" w16cid:durableId="910962120">
    <w:abstractNumId w:val="14"/>
  </w:num>
  <w:num w:numId="4" w16cid:durableId="1508668159">
    <w:abstractNumId w:val="17"/>
  </w:num>
  <w:num w:numId="5" w16cid:durableId="825440309">
    <w:abstractNumId w:val="6"/>
  </w:num>
  <w:num w:numId="6" w16cid:durableId="2073430313">
    <w:abstractNumId w:val="10"/>
  </w:num>
  <w:num w:numId="7" w16cid:durableId="1687752613">
    <w:abstractNumId w:val="12"/>
  </w:num>
  <w:num w:numId="8" w16cid:durableId="2111654381">
    <w:abstractNumId w:val="20"/>
  </w:num>
  <w:num w:numId="9" w16cid:durableId="1845432746">
    <w:abstractNumId w:val="3"/>
  </w:num>
  <w:num w:numId="10" w16cid:durableId="398214949">
    <w:abstractNumId w:val="15"/>
  </w:num>
  <w:num w:numId="11" w16cid:durableId="1983997493">
    <w:abstractNumId w:val="8"/>
  </w:num>
  <w:num w:numId="12" w16cid:durableId="675809848">
    <w:abstractNumId w:val="0"/>
  </w:num>
  <w:num w:numId="13" w16cid:durableId="1854563768">
    <w:abstractNumId w:val="21"/>
  </w:num>
  <w:num w:numId="14" w16cid:durableId="981008643">
    <w:abstractNumId w:val="11"/>
  </w:num>
  <w:num w:numId="15" w16cid:durableId="1225222347">
    <w:abstractNumId w:val="19"/>
  </w:num>
  <w:num w:numId="16" w16cid:durableId="1893149875">
    <w:abstractNumId w:val="4"/>
  </w:num>
  <w:num w:numId="17" w16cid:durableId="118451603">
    <w:abstractNumId w:val="1"/>
  </w:num>
  <w:num w:numId="18" w16cid:durableId="1894996987">
    <w:abstractNumId w:val="5"/>
  </w:num>
  <w:num w:numId="19" w16cid:durableId="842284736">
    <w:abstractNumId w:val="7"/>
  </w:num>
  <w:num w:numId="20" w16cid:durableId="263805483">
    <w:abstractNumId w:val="13"/>
  </w:num>
  <w:num w:numId="21" w16cid:durableId="688409691">
    <w:abstractNumId w:val="2"/>
  </w:num>
  <w:num w:numId="22" w16cid:durableId="1908102737">
    <w:abstractNumId w:val="18"/>
  </w:num>
  <w:num w:numId="23" w16cid:durableId="1548294761">
    <w:abstractNumId w:val="16"/>
  </w:num>
  <w:num w:numId="24" w16cid:durableId="730352712">
    <w:abstractNumId w:val="16"/>
  </w:num>
  <w:num w:numId="25" w16cid:durableId="895355470">
    <w:abstractNumId w:val="16"/>
  </w:num>
  <w:num w:numId="26" w16cid:durableId="453138064">
    <w:abstractNumId w:val="16"/>
  </w:num>
  <w:num w:numId="27" w16cid:durableId="1044712968">
    <w:abstractNumId w:val="16"/>
  </w:num>
  <w:num w:numId="28" w16cid:durableId="572278753">
    <w:abstractNumId w:val="16"/>
  </w:num>
  <w:num w:numId="29" w16cid:durableId="1257320825">
    <w:abstractNumId w:val="16"/>
  </w:num>
  <w:num w:numId="30" w16cid:durableId="299459743">
    <w:abstractNumId w:val="16"/>
  </w:num>
  <w:num w:numId="31" w16cid:durableId="70834221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FFE"/>
    <w:rsid w:val="00067081"/>
    <w:rsid w:val="000A1DCA"/>
    <w:rsid w:val="000B7182"/>
    <w:rsid w:val="000E5A3D"/>
    <w:rsid w:val="00157901"/>
    <w:rsid w:val="001A6A02"/>
    <w:rsid w:val="001E62CD"/>
    <w:rsid w:val="00227645"/>
    <w:rsid w:val="002458A3"/>
    <w:rsid w:val="0025603B"/>
    <w:rsid w:val="002837BB"/>
    <w:rsid w:val="002D1D31"/>
    <w:rsid w:val="00313292"/>
    <w:rsid w:val="00322BA1"/>
    <w:rsid w:val="003269FB"/>
    <w:rsid w:val="00333F35"/>
    <w:rsid w:val="0036753D"/>
    <w:rsid w:val="0038476D"/>
    <w:rsid w:val="003B1FFE"/>
    <w:rsid w:val="003D0462"/>
    <w:rsid w:val="00414734"/>
    <w:rsid w:val="00424109"/>
    <w:rsid w:val="00446984"/>
    <w:rsid w:val="00452BF3"/>
    <w:rsid w:val="004868C5"/>
    <w:rsid w:val="0049063C"/>
    <w:rsid w:val="004A421F"/>
    <w:rsid w:val="004A53C5"/>
    <w:rsid w:val="004D1F37"/>
    <w:rsid w:val="004D6035"/>
    <w:rsid w:val="004E0482"/>
    <w:rsid w:val="00550A7E"/>
    <w:rsid w:val="00561908"/>
    <w:rsid w:val="005853DA"/>
    <w:rsid w:val="00594836"/>
    <w:rsid w:val="005A5200"/>
    <w:rsid w:val="005B635D"/>
    <w:rsid w:val="005B72A2"/>
    <w:rsid w:val="005D2718"/>
    <w:rsid w:val="005D3576"/>
    <w:rsid w:val="005E27A4"/>
    <w:rsid w:val="005E7298"/>
    <w:rsid w:val="006544FB"/>
    <w:rsid w:val="006A2BC7"/>
    <w:rsid w:val="006F0B86"/>
    <w:rsid w:val="007273D2"/>
    <w:rsid w:val="0073663C"/>
    <w:rsid w:val="00771A59"/>
    <w:rsid w:val="007A2AF5"/>
    <w:rsid w:val="007B71B6"/>
    <w:rsid w:val="007D546A"/>
    <w:rsid w:val="007F7681"/>
    <w:rsid w:val="008074C3"/>
    <w:rsid w:val="00815A0E"/>
    <w:rsid w:val="00827ADA"/>
    <w:rsid w:val="00844479"/>
    <w:rsid w:val="00881A05"/>
    <w:rsid w:val="008A7265"/>
    <w:rsid w:val="008C05B5"/>
    <w:rsid w:val="008C4823"/>
    <w:rsid w:val="008D1740"/>
    <w:rsid w:val="008E751F"/>
    <w:rsid w:val="0094233B"/>
    <w:rsid w:val="009438BD"/>
    <w:rsid w:val="0094414E"/>
    <w:rsid w:val="00964AE5"/>
    <w:rsid w:val="00A200B9"/>
    <w:rsid w:val="00A3124E"/>
    <w:rsid w:val="00A54261"/>
    <w:rsid w:val="00A821AC"/>
    <w:rsid w:val="00B10C33"/>
    <w:rsid w:val="00B349A7"/>
    <w:rsid w:val="00B56665"/>
    <w:rsid w:val="00B65253"/>
    <w:rsid w:val="00BF150E"/>
    <w:rsid w:val="00C32C6F"/>
    <w:rsid w:val="00C81B5A"/>
    <w:rsid w:val="00C954FF"/>
    <w:rsid w:val="00D14605"/>
    <w:rsid w:val="00D65BC7"/>
    <w:rsid w:val="00D9451E"/>
    <w:rsid w:val="00DD348A"/>
    <w:rsid w:val="00E138B7"/>
    <w:rsid w:val="00E15255"/>
    <w:rsid w:val="00E333CE"/>
    <w:rsid w:val="00E832A8"/>
    <w:rsid w:val="00EC4AE1"/>
    <w:rsid w:val="00EC56B0"/>
    <w:rsid w:val="00F13C27"/>
    <w:rsid w:val="00FC29CF"/>
    <w:rsid w:val="00FD0694"/>
    <w:rsid w:val="00FF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1239E328"/>
  <w15:chartTrackingRefBased/>
  <w15:docId w15:val="{407B8944-39EC-48C1-9C70-CDB6B8584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4AE5"/>
    <w:pPr>
      <w:keepNext/>
      <w:keepLines/>
      <w:numPr>
        <w:numId w:val="1"/>
      </w:numPr>
      <w:spacing w:before="240" w:after="0"/>
      <w:outlineLvl w:val="0"/>
    </w:pPr>
    <w:rPr>
      <w:rFonts w:asciiTheme="majorHAnsi" w:eastAsia="Times New Roman" w:hAnsiTheme="majorHAnsi" w:cstheme="majorHAnsi"/>
      <w:b/>
      <w:bCs/>
      <w:color w:val="385623" w:themeColor="accent6" w:themeShade="80"/>
      <w:sz w:val="28"/>
      <w:szCs w:val="28"/>
      <w:bdr w:val="none" w:sz="0" w:space="0" w:color="auto" w:frame="1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38BD"/>
    <w:pPr>
      <w:keepNext/>
      <w:keepLines/>
      <w:spacing w:before="40" w:after="0"/>
      <w:outlineLvl w:val="1"/>
    </w:pPr>
    <w:rPr>
      <w:rFonts w:eastAsiaTheme="majorEastAsia" w:cstheme="minorHAnsi"/>
      <w:color w:val="385623" w:themeColor="accent6" w:themeShade="8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4A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4AE5"/>
    <w:rPr>
      <w:rFonts w:asciiTheme="majorHAnsi" w:eastAsia="Times New Roman" w:hAnsiTheme="majorHAnsi" w:cstheme="majorHAnsi"/>
      <w:b/>
      <w:bCs/>
      <w:color w:val="385623" w:themeColor="accent6" w:themeShade="80"/>
      <w:sz w:val="28"/>
      <w:szCs w:val="28"/>
      <w:bdr w:val="none" w:sz="0" w:space="0" w:color="auto" w:frame="1"/>
      <w:lang w:eastAsia="en-GB"/>
    </w:rPr>
  </w:style>
  <w:style w:type="paragraph" w:styleId="NoSpacing">
    <w:name w:val="No Spacing"/>
    <w:uiPriority w:val="1"/>
    <w:qFormat/>
    <w:rsid w:val="00964AE5"/>
    <w:pPr>
      <w:spacing w:after="0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D60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6035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4D6035"/>
    <w:pPr>
      <w:spacing w:after="0" w:line="240" w:lineRule="auto"/>
      <w:contextualSpacing/>
    </w:pPr>
    <w:rPr>
      <w:rFonts w:eastAsia="Times New Roman" w:cstheme="minorHAnsi"/>
      <w:color w:val="4472C4" w:themeColor="accent1"/>
      <w:spacing w:val="-10"/>
      <w:kern w:val="28"/>
      <w:sz w:val="28"/>
      <w:szCs w:val="28"/>
      <w:bdr w:val="none" w:sz="0" w:space="0" w:color="auto" w:frame="1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4D6035"/>
    <w:rPr>
      <w:rFonts w:eastAsia="Times New Roman" w:cstheme="minorHAnsi"/>
      <w:color w:val="4472C4" w:themeColor="accent1"/>
      <w:spacing w:val="-10"/>
      <w:kern w:val="28"/>
      <w:sz w:val="28"/>
      <w:szCs w:val="28"/>
      <w:bdr w:val="none" w:sz="0" w:space="0" w:color="auto" w:frame="1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A4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21F"/>
  </w:style>
  <w:style w:type="paragraph" w:styleId="Footer">
    <w:name w:val="footer"/>
    <w:basedOn w:val="Normal"/>
    <w:link w:val="FooterChar"/>
    <w:uiPriority w:val="99"/>
    <w:unhideWhenUsed/>
    <w:rsid w:val="004A4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21F"/>
  </w:style>
  <w:style w:type="character" w:customStyle="1" w:styleId="Heading2Char">
    <w:name w:val="Heading 2 Char"/>
    <w:basedOn w:val="DefaultParagraphFont"/>
    <w:link w:val="Heading2"/>
    <w:uiPriority w:val="9"/>
    <w:rsid w:val="009438BD"/>
    <w:rPr>
      <w:rFonts w:eastAsiaTheme="majorEastAsia" w:cstheme="minorHAnsi"/>
      <w:color w:val="385623" w:themeColor="accent6" w:themeShade="80"/>
      <w:sz w:val="24"/>
      <w:szCs w:val="24"/>
    </w:rPr>
  </w:style>
  <w:style w:type="paragraph" w:styleId="ListParagraph">
    <w:name w:val="List Paragraph"/>
    <w:basedOn w:val="Normal"/>
    <w:uiPriority w:val="34"/>
    <w:qFormat/>
    <w:rsid w:val="002D1D3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964AE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964AE5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6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30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86476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401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055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9DC1B-BCF1-4F7E-8E1F-21B6C1B0C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Padworth</dc:creator>
  <cp:keywords/>
  <dc:description/>
  <cp:lastModifiedBy>Sara Jones</cp:lastModifiedBy>
  <cp:revision>9</cp:revision>
  <cp:lastPrinted>2024-10-05T09:48:00Z</cp:lastPrinted>
  <dcterms:created xsi:type="dcterms:W3CDTF">2026-01-04T20:47:00Z</dcterms:created>
  <dcterms:modified xsi:type="dcterms:W3CDTF">2026-01-25T19:47:00Z</dcterms:modified>
</cp:coreProperties>
</file>