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71C0F0D" w:rsidP="5D687A60" w:rsidRDefault="571C0F0D" w14:paraId="666725A3" w14:textId="2E80DCF4">
      <w:pPr>
        <w:rPr>
          <w:b w:val="1"/>
          <w:bCs w:val="1"/>
          <w:sz w:val="28"/>
          <w:szCs w:val="28"/>
        </w:rPr>
      </w:pPr>
      <w:r w:rsidRPr="5D687A60" w:rsidR="571C0F0D">
        <w:rPr>
          <w:b w:val="1"/>
          <w:bCs w:val="1"/>
          <w:sz w:val="28"/>
          <w:szCs w:val="28"/>
        </w:rPr>
        <w:t>Blunsdon Parish Council Cemetery Charges - 2025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990"/>
        <w:gridCol w:w="4605"/>
        <w:gridCol w:w="1815"/>
      </w:tblGrid>
      <w:tr w:rsidR="5D687A60" w:rsidTr="307585E5" w14:paraId="31980856">
        <w:trPr>
          <w:trHeight w:val="300"/>
        </w:trPr>
        <w:tc>
          <w:tcPr>
            <w:tcW w:w="10410" w:type="dxa"/>
            <w:gridSpan w:val="3"/>
            <w:tcBorders>
              <w:bottom w:val="single" w:color="000000" w:themeColor="text1" w:sz="12"/>
            </w:tcBorders>
            <w:tcMar/>
          </w:tcPr>
          <w:p w:rsidR="55EF19DE" w:rsidP="5D687A60" w:rsidRDefault="55EF19DE" w14:paraId="6252A385" w14:textId="09361B4A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5D687A60" w:rsidR="55EF19DE">
              <w:rPr>
                <w:b w:val="1"/>
                <w:bCs w:val="1"/>
                <w:sz w:val="28"/>
                <w:szCs w:val="28"/>
              </w:rPr>
              <w:t xml:space="preserve">Burial </w:t>
            </w:r>
            <w:r w:rsidRPr="5D687A60" w:rsidR="683AB0F7">
              <w:rPr>
                <w:b w:val="1"/>
                <w:bCs w:val="1"/>
                <w:sz w:val="28"/>
                <w:szCs w:val="28"/>
              </w:rPr>
              <w:t>Charges</w:t>
            </w:r>
          </w:p>
        </w:tc>
      </w:tr>
      <w:tr w:rsidR="5D687A60" w:rsidTr="307585E5" w14:paraId="315D15B7">
        <w:trPr>
          <w:trHeight w:val="300"/>
        </w:trPr>
        <w:tc>
          <w:tcPr>
            <w:tcW w:w="3990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D9D9D9" w:themeFill="background1" w:themeFillShade="D9"/>
            <w:tcMar/>
          </w:tcPr>
          <w:p w:rsidR="55EF19DE" w:rsidP="5D687A60" w:rsidRDefault="55EF19DE" w14:paraId="6D8C86FD" w14:textId="526CD737">
            <w:pPr>
              <w:pStyle w:val="Normal"/>
            </w:pPr>
            <w:r w:rsidR="55EF19DE">
              <w:rPr/>
              <w:t xml:space="preserve">Pre-Purchase of </w:t>
            </w:r>
            <w:r w:rsidRPr="5D687A60" w:rsidR="55EF19DE">
              <w:rPr>
                <w:b w:val="1"/>
                <w:bCs w:val="1"/>
              </w:rPr>
              <w:t>Exclusive Right of Burial Deed</w:t>
            </w:r>
            <w:r w:rsidR="55EF19DE">
              <w:rPr/>
              <w:t xml:space="preserve"> and reserving of plot</w:t>
            </w:r>
            <w:r w:rsidR="0927CE11">
              <w:rPr/>
              <w:t xml:space="preserve"> </w:t>
            </w:r>
          </w:p>
        </w:tc>
        <w:tc>
          <w:tcPr>
            <w:tcW w:w="4605" w:type="dxa"/>
            <w:tcBorders>
              <w:top w:val="single" w:color="000000" w:themeColor="text1" w:sz="12"/>
            </w:tcBorders>
            <w:shd w:val="clear" w:color="auto" w:fill="D9D9D9" w:themeFill="background1" w:themeFillShade="D9"/>
            <w:tcMar/>
          </w:tcPr>
          <w:p w:rsidR="7A5B2F47" w:rsidP="5D687A60" w:rsidRDefault="7A5B2F47" w14:paraId="62034B0A" w14:textId="22AD6689">
            <w:pPr>
              <w:pStyle w:val="Normal"/>
            </w:pPr>
            <w:r w:rsidR="7A5B2F47">
              <w:rPr/>
              <w:t>Resident / Long standing past resident</w:t>
            </w:r>
          </w:p>
        </w:tc>
        <w:tc>
          <w:tcPr>
            <w:tcW w:w="1815" w:type="dxa"/>
            <w:tcBorders>
              <w:top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="7AD33CC0" w:rsidP="5D687A60" w:rsidRDefault="7AD33CC0" w14:paraId="2C01FC47" w14:textId="452F8578">
            <w:pPr>
              <w:pStyle w:val="Normal"/>
              <w:rPr>
                <w:color w:val="FF0000"/>
              </w:rPr>
            </w:pPr>
            <w:r w:rsidRPr="2DB28FFB" w:rsidR="7AD33CC0">
              <w:rPr>
                <w:color w:val="FF0000"/>
              </w:rPr>
              <w:t>£</w:t>
            </w:r>
            <w:r w:rsidRPr="2DB28FFB" w:rsidR="1DE188B9">
              <w:rPr>
                <w:color w:val="FF0000"/>
              </w:rPr>
              <w:t>800.00</w:t>
            </w:r>
          </w:p>
        </w:tc>
      </w:tr>
      <w:tr w:rsidR="5D687A60" w:rsidTr="307585E5" w14:paraId="23D2C480">
        <w:trPr>
          <w:trHeight w:val="300"/>
        </w:trPr>
        <w:tc>
          <w:tcPr>
            <w:tcW w:w="3990" w:type="dxa"/>
            <w:tcBorders>
              <w:left w:val="single" w:color="000000" w:themeColor="text1" w:sz="12"/>
            </w:tcBorders>
            <w:shd w:val="clear" w:color="auto" w:fill="D9D9D9" w:themeFill="background1" w:themeFillShade="D9"/>
            <w:tcMar/>
          </w:tcPr>
          <w:p w:rsidR="40C3BF03" w:rsidP="5D687A60" w:rsidRDefault="40C3BF03" w14:paraId="1D749407" w14:textId="1F78541E">
            <w:pPr>
              <w:pStyle w:val="Normal"/>
              <w:rPr>
                <w:b w:val="1"/>
                <w:bCs w:val="1"/>
              </w:rPr>
            </w:pPr>
            <w:r w:rsidRPr="5D687A60" w:rsidR="40C3BF03">
              <w:rPr>
                <w:b w:val="1"/>
                <w:bCs w:val="1"/>
              </w:rPr>
              <w:t>Exclusive Right of Burial Deed</w:t>
            </w:r>
          </w:p>
          <w:p w:rsidR="40C3BF03" w:rsidP="5D687A60" w:rsidRDefault="40C3BF03" w14:paraId="7706415D" w14:textId="3778D3C3">
            <w:pPr>
              <w:pStyle w:val="Normal"/>
            </w:pPr>
            <w:r w:rsidR="40C3BF03">
              <w:rPr/>
              <w:t xml:space="preserve">At the time of </w:t>
            </w:r>
            <w:r w:rsidR="282590F4">
              <w:rPr/>
              <w:t>1</w:t>
            </w:r>
            <w:r w:rsidRPr="5D687A60" w:rsidR="282590F4">
              <w:rPr>
                <w:vertAlign w:val="superscript"/>
              </w:rPr>
              <w:t>st</w:t>
            </w:r>
            <w:r w:rsidR="282590F4">
              <w:rPr/>
              <w:t xml:space="preserve"> </w:t>
            </w:r>
            <w:r w:rsidR="40C3BF03">
              <w:rPr/>
              <w:t>interment</w:t>
            </w:r>
          </w:p>
        </w:tc>
        <w:tc>
          <w:tcPr>
            <w:tcW w:w="4605" w:type="dxa"/>
            <w:shd w:val="clear" w:color="auto" w:fill="D9D9D9" w:themeFill="background1" w:themeFillShade="D9"/>
            <w:tcMar/>
          </w:tcPr>
          <w:p w:rsidR="7A5B2F47" w:rsidP="5D687A60" w:rsidRDefault="7A5B2F47" w14:paraId="2445B21F" w14:textId="1E82B7E4">
            <w:pPr>
              <w:pStyle w:val="Normal"/>
            </w:pPr>
            <w:r w:rsidR="7A5B2F47">
              <w:rPr/>
              <w:t xml:space="preserve">Resident / Long standing past resident </w:t>
            </w:r>
          </w:p>
        </w:tc>
        <w:tc>
          <w:tcPr>
            <w:tcW w:w="1815" w:type="dxa"/>
            <w:tcBorders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="065977A6" w:rsidP="5D687A60" w:rsidRDefault="065977A6" w14:paraId="15167F8D" w14:textId="47DEA758">
            <w:pPr>
              <w:pStyle w:val="Normal"/>
            </w:pPr>
            <w:r w:rsidR="065977A6">
              <w:rPr/>
              <w:t>£408.83</w:t>
            </w:r>
          </w:p>
        </w:tc>
      </w:tr>
      <w:tr w:rsidR="5D687A60" w:rsidTr="307585E5" w14:paraId="79F5A873">
        <w:trPr>
          <w:trHeight w:val="300"/>
        </w:trPr>
        <w:tc>
          <w:tcPr>
            <w:tcW w:w="3990" w:type="dxa"/>
            <w:tcBorders>
              <w:left w:val="single" w:color="000000" w:themeColor="text1" w:sz="12"/>
              <w:bottom w:val="single" w:color="000000" w:themeColor="text1" w:sz="12"/>
            </w:tcBorders>
            <w:shd w:val="clear" w:color="auto" w:fill="D9D9D9" w:themeFill="background1" w:themeFillShade="D9"/>
            <w:tcMar/>
          </w:tcPr>
          <w:p w:rsidR="294090AA" w:rsidP="5D687A60" w:rsidRDefault="294090AA" w14:paraId="608B4529" w14:textId="26730810">
            <w:pPr>
              <w:pStyle w:val="Normal"/>
              <w:rPr>
                <w:b w:val="1"/>
                <w:bCs w:val="1"/>
              </w:rPr>
            </w:pPr>
            <w:r w:rsidRPr="5D687A60" w:rsidR="294090AA">
              <w:rPr>
                <w:b w:val="1"/>
                <w:bCs w:val="1"/>
              </w:rPr>
              <w:t>Exclusive Right of Burial Deed</w:t>
            </w:r>
          </w:p>
          <w:p w:rsidR="0AC6B360" w:rsidP="5D687A60" w:rsidRDefault="0AC6B360" w14:paraId="4A0FC845" w14:textId="0B9BC93A">
            <w:pPr>
              <w:pStyle w:val="Normal"/>
            </w:pPr>
            <w:r w:rsidR="0AC6B360">
              <w:rPr/>
              <w:t xml:space="preserve">At the time of interment for </w:t>
            </w:r>
            <w:r w:rsidR="0AC6B360">
              <w:rPr/>
              <w:t xml:space="preserve">a </w:t>
            </w:r>
            <w:r w:rsidR="294090AA">
              <w:rPr/>
              <w:t>Child</w:t>
            </w:r>
            <w:r w:rsidR="294090AA">
              <w:rPr/>
              <w:t xml:space="preserve"> under 10</w:t>
            </w:r>
          </w:p>
        </w:tc>
        <w:tc>
          <w:tcPr>
            <w:tcW w:w="4605" w:type="dxa"/>
            <w:shd w:val="clear" w:color="auto" w:fill="D9D9D9" w:themeFill="background1" w:themeFillShade="D9"/>
            <w:tcMar/>
          </w:tcPr>
          <w:p w:rsidR="5D687A60" w:rsidP="5D687A60" w:rsidRDefault="5D687A60" w14:paraId="0078AF50" w14:textId="22AD6689">
            <w:pPr>
              <w:pStyle w:val="Normal"/>
            </w:pPr>
            <w:r w:rsidR="5D687A60">
              <w:rPr/>
              <w:t>Resident / Long standing past resident</w:t>
            </w:r>
          </w:p>
        </w:tc>
        <w:tc>
          <w:tcPr>
            <w:tcW w:w="1815" w:type="dxa"/>
            <w:tcBorders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="7288125D" w:rsidP="5D687A60" w:rsidRDefault="7288125D" w14:paraId="4BDA558A" w14:textId="12A5084F">
            <w:pPr>
              <w:pStyle w:val="Normal"/>
            </w:pPr>
            <w:r w:rsidR="7288125D">
              <w:rPr/>
              <w:t>No Charge</w:t>
            </w:r>
          </w:p>
        </w:tc>
      </w:tr>
      <w:tr w:rsidR="5D687A60" w:rsidTr="307585E5" w14:paraId="4FBA4232">
        <w:trPr>
          <w:trHeight w:val="300"/>
        </w:trPr>
        <w:tc>
          <w:tcPr>
            <w:tcW w:w="39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2"/>
            </w:tcBorders>
            <w:tcMar/>
          </w:tcPr>
          <w:p w:rsidR="35DEBD5C" w:rsidP="5D687A60" w:rsidRDefault="35DEBD5C" w14:paraId="4B493723" w14:textId="24CF37F2">
            <w:pPr>
              <w:pStyle w:val="Normal"/>
              <w:rPr>
                <w:b w:val="1"/>
                <w:bCs w:val="1"/>
              </w:rPr>
            </w:pPr>
            <w:r w:rsidR="35DEBD5C">
              <w:rPr>
                <w:b w:val="0"/>
                <w:bCs w:val="0"/>
              </w:rPr>
              <w:t>Notice of Burial</w:t>
            </w:r>
            <w:r w:rsidRPr="5D687A60" w:rsidR="35DEBD5C">
              <w:rPr>
                <w:b w:val="1"/>
                <w:bCs w:val="1"/>
              </w:rPr>
              <w:t xml:space="preserve"> Interment Fee</w:t>
            </w:r>
            <w:r w:rsidRPr="5D687A60" w:rsidR="489A997F">
              <w:rPr>
                <w:b w:val="1"/>
                <w:bCs w:val="1"/>
              </w:rPr>
              <w:t xml:space="preserve"> </w:t>
            </w:r>
          </w:p>
          <w:p w:rsidR="489A997F" w:rsidP="5D687A60" w:rsidRDefault="489A997F" w14:paraId="2E92F840" w14:textId="74DE8C97">
            <w:pPr>
              <w:pStyle w:val="Normal"/>
              <w:rPr>
                <w:b w:val="1"/>
                <w:bCs w:val="1"/>
              </w:rPr>
            </w:pPr>
            <w:r w:rsidRPr="5D687A60" w:rsidR="489A997F">
              <w:rPr>
                <w:b w:val="1"/>
                <w:bCs w:val="1"/>
              </w:rPr>
              <w:t>Single Depth</w:t>
            </w:r>
          </w:p>
          <w:p w:rsidR="35DEBD5C" w:rsidP="5D687A60" w:rsidRDefault="35DEBD5C" w14:paraId="6D26FD92" w14:textId="2282E261">
            <w:pPr>
              <w:pStyle w:val="Normal"/>
              <w:rPr>
                <w:b w:val="1"/>
                <w:bCs w:val="1"/>
              </w:rPr>
            </w:pPr>
            <w:r w:rsidR="35DEBD5C">
              <w:rPr/>
              <w:t>Age 10+ to  Adult</w:t>
            </w:r>
          </w:p>
        </w:tc>
        <w:tc>
          <w:tcPr>
            <w:tcW w:w="4605" w:type="dxa"/>
            <w:tcBorders>
              <w:top w:val="single" w:color="000000" w:themeColor="text1" w:sz="1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tcMar/>
          </w:tcPr>
          <w:p w:rsidR="5D687A60" w:rsidP="5D687A60" w:rsidRDefault="5D687A60" w14:paraId="2808EAF1" w14:textId="22AD6689">
            <w:pPr>
              <w:pStyle w:val="Normal"/>
            </w:pPr>
            <w:r w:rsidR="5D687A60">
              <w:rPr/>
              <w:t>Resident / Long standing past resident</w:t>
            </w:r>
          </w:p>
        </w:tc>
        <w:tc>
          <w:tcPr>
            <w:tcW w:w="1815" w:type="dxa"/>
            <w:tcBorders>
              <w:top w:val="single" w:color="000000" w:themeColor="text1" w:sz="12"/>
              <w:left w:val="single" w:color="000000" w:themeColor="text1" w:sz="2"/>
              <w:bottom w:val="single" w:color="000000" w:themeColor="text1" w:sz="2"/>
              <w:right w:val="single" w:color="000000" w:themeColor="text1" w:sz="12"/>
            </w:tcBorders>
            <w:tcMar/>
          </w:tcPr>
          <w:p w:rsidR="1BB4AD94" w:rsidP="5D687A60" w:rsidRDefault="1BB4AD94" w14:paraId="7978FC24" w14:textId="3A84465D">
            <w:pPr>
              <w:pStyle w:val="Normal"/>
            </w:pPr>
            <w:r w:rsidR="1BB4AD94">
              <w:rPr/>
              <w:t>£550.62</w:t>
            </w:r>
          </w:p>
        </w:tc>
      </w:tr>
      <w:tr w:rsidR="5D687A60" w:rsidTr="307585E5" w14:paraId="3F9566FB">
        <w:trPr>
          <w:trHeight w:val="300"/>
        </w:trPr>
        <w:tc>
          <w:tcPr>
            <w:tcW w:w="39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2"/>
            </w:tcBorders>
            <w:tcMar/>
          </w:tcPr>
          <w:p w:rsidR="35DEBD5C" w:rsidP="5D687A60" w:rsidRDefault="35DEBD5C" w14:paraId="0552FC64" w14:textId="7053F4E9">
            <w:pPr>
              <w:pStyle w:val="Normal"/>
              <w:rPr>
                <w:b w:val="1"/>
                <w:bCs w:val="1"/>
              </w:rPr>
            </w:pPr>
            <w:r w:rsidR="35DEBD5C">
              <w:rPr>
                <w:b w:val="0"/>
                <w:bCs w:val="0"/>
              </w:rPr>
              <w:t>Notice of Burial</w:t>
            </w:r>
            <w:r w:rsidRPr="5D687A60" w:rsidR="35DEBD5C">
              <w:rPr>
                <w:b w:val="1"/>
                <w:bCs w:val="1"/>
              </w:rPr>
              <w:t xml:space="preserve"> Interment Fee</w:t>
            </w:r>
          </w:p>
          <w:p w:rsidR="2BFA41D3" w:rsidP="5D687A60" w:rsidRDefault="2BFA41D3" w14:paraId="1E6DDF8B" w14:textId="23766E84">
            <w:pPr>
              <w:pStyle w:val="Normal"/>
              <w:rPr>
                <w:b w:val="1"/>
                <w:bCs w:val="1"/>
              </w:rPr>
            </w:pPr>
            <w:r w:rsidRPr="5D687A60" w:rsidR="2BFA41D3">
              <w:rPr>
                <w:b w:val="1"/>
                <w:bCs w:val="1"/>
              </w:rPr>
              <w:t>Single Depth</w:t>
            </w:r>
          </w:p>
          <w:p w:rsidR="35DEBD5C" w:rsidP="5D687A60" w:rsidRDefault="35DEBD5C" w14:paraId="46FB0DDE" w14:textId="687B19FD">
            <w:pPr>
              <w:pStyle w:val="Normal"/>
            </w:pPr>
            <w:r w:rsidR="35DEBD5C">
              <w:rPr/>
              <w:t>Child under 10</w:t>
            </w:r>
          </w:p>
        </w:tc>
        <w:tc>
          <w:tcPr>
            <w:tcW w:w="4605" w:type="dxa"/>
            <w:tcBorders>
              <w:top w:val="single" w:color="000000" w:themeColor="text1" w:sz="1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tcMar/>
          </w:tcPr>
          <w:p w:rsidR="5D687A60" w:rsidP="5D687A60" w:rsidRDefault="5D687A60" w14:paraId="47F717F0" w14:textId="22AD6689">
            <w:pPr>
              <w:pStyle w:val="Normal"/>
            </w:pPr>
            <w:r w:rsidR="5D687A60">
              <w:rPr/>
              <w:t>Resident / Long standing past resident</w:t>
            </w:r>
          </w:p>
        </w:tc>
        <w:tc>
          <w:tcPr>
            <w:tcW w:w="1815" w:type="dxa"/>
            <w:tcBorders>
              <w:top w:val="single" w:color="000000" w:themeColor="text1" w:sz="12"/>
              <w:left w:val="single" w:color="000000" w:themeColor="text1" w:sz="2"/>
              <w:bottom w:val="single" w:color="000000" w:themeColor="text1" w:sz="2"/>
              <w:right w:val="single" w:color="000000" w:themeColor="text1" w:sz="12"/>
            </w:tcBorders>
            <w:tcMar/>
          </w:tcPr>
          <w:p w:rsidR="3A017C55" w:rsidP="5D687A60" w:rsidRDefault="3A017C55" w14:paraId="431E30AB" w14:textId="5C414F72">
            <w:pPr>
              <w:pStyle w:val="Normal"/>
            </w:pPr>
            <w:r w:rsidR="3A017C55">
              <w:rPr/>
              <w:t>No Charge</w:t>
            </w:r>
          </w:p>
        </w:tc>
      </w:tr>
      <w:tr w:rsidR="5D687A60" w:rsidTr="307585E5" w14:paraId="53C862B3">
        <w:trPr>
          <w:trHeight w:val="300"/>
        </w:trPr>
        <w:tc>
          <w:tcPr>
            <w:tcW w:w="39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</w:tcBorders>
            <w:tcMar/>
          </w:tcPr>
          <w:p w:rsidR="3BDC361F" w:rsidP="5D687A60" w:rsidRDefault="3BDC361F" w14:paraId="68430E99" w14:textId="1B0F1773">
            <w:pPr>
              <w:pStyle w:val="Normal"/>
              <w:rPr>
                <w:b w:val="1"/>
                <w:bCs w:val="1"/>
              </w:rPr>
            </w:pPr>
            <w:r w:rsidR="3BDC361F">
              <w:rPr>
                <w:b w:val="0"/>
                <w:bCs w:val="0"/>
              </w:rPr>
              <w:t>Notice of Burial</w:t>
            </w:r>
            <w:r w:rsidRPr="5D687A60" w:rsidR="3BDC361F">
              <w:rPr>
                <w:b w:val="1"/>
                <w:bCs w:val="1"/>
              </w:rPr>
              <w:t xml:space="preserve"> Interment Fee</w:t>
            </w:r>
          </w:p>
          <w:p w:rsidR="2AE27911" w:rsidP="5D687A60" w:rsidRDefault="2AE27911" w14:paraId="7D76505F" w14:textId="42664E1A">
            <w:pPr>
              <w:pStyle w:val="Normal"/>
              <w:rPr>
                <w:b w:val="1"/>
                <w:bCs w:val="1"/>
              </w:rPr>
            </w:pPr>
            <w:r w:rsidRPr="5D687A60" w:rsidR="2AE27911">
              <w:rPr>
                <w:b w:val="1"/>
                <w:bCs w:val="1"/>
              </w:rPr>
              <w:t>Double Depth</w:t>
            </w:r>
          </w:p>
          <w:p w:rsidR="3BDC361F" w:rsidP="5D687A60" w:rsidRDefault="3BDC361F" w14:paraId="6DDEC401" w14:textId="7E36A7CA">
            <w:pPr>
              <w:pStyle w:val="Normal"/>
              <w:rPr>
                <w:b w:val="1"/>
                <w:bCs w:val="1"/>
              </w:rPr>
            </w:pPr>
            <w:r w:rsidR="3BDC361F">
              <w:rPr/>
              <w:t>Age 10+ to  Adul</w:t>
            </w:r>
            <w:r w:rsidR="58E8C1F8">
              <w:rPr/>
              <w:t>t</w:t>
            </w:r>
          </w:p>
        </w:tc>
        <w:tc>
          <w:tcPr>
            <w:tcW w:w="4605" w:type="dxa"/>
            <w:tcBorders>
              <w:top w:val="single" w:color="000000" w:themeColor="text1" w:sz="12"/>
            </w:tcBorders>
            <w:tcMar/>
          </w:tcPr>
          <w:p w:rsidR="5D687A60" w:rsidP="5D687A60" w:rsidRDefault="5D687A60" w14:paraId="47117039" w14:textId="22AD6689">
            <w:pPr>
              <w:pStyle w:val="Normal"/>
            </w:pPr>
            <w:r w:rsidR="5D687A60">
              <w:rPr/>
              <w:t>Resident / Long standing past resident</w:t>
            </w:r>
          </w:p>
        </w:tc>
        <w:tc>
          <w:tcPr>
            <w:tcW w:w="1815" w:type="dxa"/>
            <w:tcBorders>
              <w:top w:val="single" w:color="000000" w:themeColor="text1" w:sz="12"/>
              <w:right w:val="single" w:color="000000" w:themeColor="text1" w:sz="12"/>
            </w:tcBorders>
            <w:tcMar/>
          </w:tcPr>
          <w:p w:rsidR="279CF4FD" w:rsidP="5D687A60" w:rsidRDefault="279CF4FD" w14:paraId="1A6B8355" w14:textId="76AA421A">
            <w:pPr>
              <w:pStyle w:val="Normal"/>
            </w:pPr>
            <w:r w:rsidR="279CF4FD">
              <w:rPr/>
              <w:t>£626.18</w:t>
            </w:r>
          </w:p>
        </w:tc>
      </w:tr>
      <w:tr w:rsidR="5D687A60" w:rsidTr="307585E5" w14:paraId="26725F0C">
        <w:trPr>
          <w:trHeight w:val="300"/>
        </w:trPr>
        <w:tc>
          <w:tcPr>
            <w:tcW w:w="39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</w:tcBorders>
            <w:tcMar/>
          </w:tcPr>
          <w:p w:rsidR="3A8DE02F" w:rsidP="5D687A60" w:rsidRDefault="3A8DE02F" w14:paraId="7004AADF" w14:textId="7053F4E9">
            <w:pPr>
              <w:pStyle w:val="Normal"/>
              <w:rPr>
                <w:b w:val="1"/>
                <w:bCs w:val="1"/>
              </w:rPr>
            </w:pPr>
            <w:r w:rsidR="3A8DE02F">
              <w:rPr>
                <w:b w:val="0"/>
                <w:bCs w:val="0"/>
              </w:rPr>
              <w:t>Notice of Burial</w:t>
            </w:r>
            <w:r w:rsidRPr="5D687A60" w:rsidR="3A8DE02F">
              <w:rPr>
                <w:b w:val="1"/>
                <w:bCs w:val="1"/>
              </w:rPr>
              <w:t xml:space="preserve"> Interment Fee</w:t>
            </w:r>
          </w:p>
          <w:p w:rsidR="224346F6" w:rsidP="5D687A60" w:rsidRDefault="224346F6" w14:paraId="587E3403" w14:textId="28257501">
            <w:pPr>
              <w:pStyle w:val="Normal"/>
              <w:rPr>
                <w:b w:val="1"/>
                <w:bCs w:val="1"/>
              </w:rPr>
            </w:pPr>
            <w:r w:rsidRPr="5D687A60" w:rsidR="224346F6">
              <w:rPr>
                <w:b w:val="1"/>
                <w:bCs w:val="1"/>
              </w:rPr>
              <w:t>Double Depth</w:t>
            </w:r>
          </w:p>
          <w:p w:rsidR="004F6909" w:rsidP="5D687A60" w:rsidRDefault="004F6909" w14:paraId="067BE6C7" w14:textId="4670007C">
            <w:pPr>
              <w:pStyle w:val="Normal"/>
            </w:pPr>
            <w:r w:rsidR="004F6909">
              <w:rPr/>
              <w:t>Child under 10</w:t>
            </w:r>
          </w:p>
        </w:tc>
        <w:tc>
          <w:tcPr>
            <w:tcW w:w="4605" w:type="dxa"/>
            <w:tcBorders>
              <w:top w:val="single" w:color="000000" w:themeColor="text1" w:sz="12"/>
            </w:tcBorders>
            <w:tcMar/>
          </w:tcPr>
          <w:p w:rsidR="5D687A60" w:rsidP="5D687A60" w:rsidRDefault="5D687A60" w14:paraId="22320960" w14:textId="22AD6689">
            <w:pPr>
              <w:pStyle w:val="Normal"/>
            </w:pPr>
            <w:r w:rsidR="5D687A60">
              <w:rPr/>
              <w:t>Resident / Long standing past resident</w:t>
            </w:r>
          </w:p>
        </w:tc>
        <w:tc>
          <w:tcPr>
            <w:tcW w:w="1815" w:type="dxa"/>
            <w:tcBorders>
              <w:top w:val="single" w:color="000000" w:themeColor="text1" w:sz="12"/>
              <w:right w:val="single" w:color="000000" w:themeColor="text1" w:sz="12"/>
            </w:tcBorders>
            <w:tcMar/>
          </w:tcPr>
          <w:p w:rsidR="34E8DBC0" w:rsidP="5D687A60" w:rsidRDefault="34E8DBC0" w14:paraId="08DB893A" w14:textId="265AEBD7">
            <w:pPr>
              <w:pStyle w:val="Normal"/>
            </w:pPr>
            <w:r w:rsidR="34E8DBC0">
              <w:rPr/>
              <w:t>No Charge</w:t>
            </w:r>
          </w:p>
        </w:tc>
      </w:tr>
      <w:tr w:rsidR="5D687A60" w:rsidTr="307585E5" w14:paraId="53CEAE56">
        <w:trPr>
          <w:trHeight w:val="300"/>
        </w:trPr>
        <w:tc>
          <w:tcPr>
            <w:tcW w:w="10410" w:type="dxa"/>
            <w:gridSpan w:val="3"/>
            <w:tcMar/>
          </w:tcPr>
          <w:p w:rsidR="33CFB153" w:rsidP="307585E5" w:rsidRDefault="33CFB153" w14:paraId="3E16B4E6" w14:textId="72BAEC37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US"/>
              </w:rPr>
            </w:pPr>
            <w:r w:rsidRPr="307585E5" w:rsidR="33CFB153">
              <w:rPr>
                <w:i w:val="1"/>
                <w:iCs w:val="1"/>
                <w:sz w:val="24"/>
                <w:szCs w:val="24"/>
              </w:rPr>
              <w:t>Exclusive Rights of Burial are for a burial plot,  100 years</w:t>
            </w:r>
            <w:r w:rsidRPr="307585E5" w:rsidR="62D1A93E">
              <w:rPr>
                <w:i w:val="1"/>
                <w:iCs w:val="1"/>
                <w:sz w:val="24"/>
                <w:szCs w:val="24"/>
              </w:rPr>
              <w:t>.</w:t>
            </w:r>
          </w:p>
          <w:p w:rsidR="62D1A93E" w:rsidP="5D687A60" w:rsidRDefault="62D1A93E" w14:paraId="5AFE627F" w14:textId="3A760B80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US"/>
              </w:rPr>
            </w:pPr>
            <w:r w:rsidRPr="5D687A60" w:rsidR="62D1A93E"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n-US"/>
              </w:rPr>
              <w:t>First Interment</w:t>
            </w:r>
            <w:r w:rsidRPr="5D687A60" w:rsidR="62D1A93E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US"/>
              </w:rPr>
              <w:t>: Both the interment fee and the charge for the Exclusive Right of Burial must be paid.</w:t>
            </w:r>
          </w:p>
          <w:p w:rsidR="62D1A93E" w:rsidP="5D687A60" w:rsidRDefault="62D1A93E" w14:paraId="27312917" w14:textId="513414C6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US"/>
              </w:rPr>
            </w:pPr>
            <w:r w:rsidRPr="5D687A60" w:rsidR="62D1A93E"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n-US"/>
              </w:rPr>
              <w:t>Subsequent</w:t>
            </w:r>
            <w:r w:rsidRPr="5D687A60" w:rsidR="62D1A93E"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n-US"/>
              </w:rPr>
              <w:t xml:space="preserve"> Interments</w:t>
            </w:r>
            <w:r w:rsidRPr="5D687A60" w:rsidR="62D1A93E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US"/>
              </w:rPr>
              <w:t xml:space="preserve">: Only the interment fee is </w:t>
            </w:r>
            <w:r w:rsidRPr="5D687A60" w:rsidR="62D1A93E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US"/>
              </w:rPr>
              <w:t>required</w:t>
            </w:r>
            <w:r w:rsidRPr="5D687A60" w:rsidR="62D1A93E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US"/>
              </w:rPr>
              <w:t>.</w:t>
            </w:r>
          </w:p>
        </w:tc>
      </w:tr>
    </w:tbl>
    <w:p w:rsidR="5D687A60" w:rsidRDefault="5D687A60" w14:paraId="186C07A1" w14:textId="2170556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020"/>
        <w:gridCol w:w="4590"/>
        <w:gridCol w:w="1830"/>
      </w:tblGrid>
      <w:tr w:rsidR="5D687A60" w:rsidTr="307585E5" w14:paraId="683D53E0">
        <w:trPr>
          <w:trHeight w:val="300"/>
        </w:trPr>
        <w:tc>
          <w:tcPr>
            <w:tcW w:w="10440" w:type="dxa"/>
            <w:gridSpan w:val="3"/>
            <w:tcBorders>
              <w:bottom w:val="single" w:color="000000" w:themeColor="text1" w:sz="12"/>
            </w:tcBorders>
            <w:tcMar/>
          </w:tcPr>
          <w:p w:rsidR="040EBBFA" w:rsidP="5D687A60" w:rsidRDefault="040EBBFA" w14:paraId="34810E2D" w14:textId="66BD0407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5D687A60" w:rsidR="040EBBFA">
              <w:rPr>
                <w:b w:val="1"/>
                <w:bCs w:val="1"/>
                <w:sz w:val="28"/>
                <w:szCs w:val="28"/>
              </w:rPr>
              <w:t xml:space="preserve">Cremation </w:t>
            </w:r>
            <w:r w:rsidRPr="5D687A60" w:rsidR="7386AEF1">
              <w:rPr>
                <w:b w:val="1"/>
                <w:bCs w:val="1"/>
                <w:sz w:val="28"/>
                <w:szCs w:val="28"/>
              </w:rPr>
              <w:t>Charges</w:t>
            </w:r>
          </w:p>
        </w:tc>
      </w:tr>
      <w:tr w:rsidR="5D687A60" w:rsidTr="307585E5" w14:paraId="09919994">
        <w:trPr>
          <w:trHeight w:val="300"/>
        </w:trPr>
        <w:tc>
          <w:tcPr>
            <w:tcW w:w="4020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BFBFBF" w:themeFill="background1" w:themeFillShade="BF"/>
            <w:tcMar/>
          </w:tcPr>
          <w:p w:rsidR="6C8D4546" w:rsidP="5D687A60" w:rsidRDefault="6C8D4546" w14:paraId="31ED1C0B" w14:textId="1F78541E">
            <w:pPr>
              <w:pStyle w:val="Normal"/>
              <w:rPr>
                <w:b w:val="1"/>
                <w:bCs w:val="1"/>
              </w:rPr>
            </w:pPr>
            <w:r w:rsidRPr="5D687A60" w:rsidR="6C8D4546">
              <w:rPr>
                <w:b w:val="1"/>
                <w:bCs w:val="1"/>
              </w:rPr>
              <w:t>Exclusive Right of Burial Deed</w:t>
            </w:r>
          </w:p>
          <w:p w:rsidR="6C8D4546" w:rsidP="5D687A60" w:rsidRDefault="6C8D4546" w14:paraId="1855BBF5" w14:textId="55196CE4">
            <w:pPr>
              <w:pStyle w:val="Normal"/>
            </w:pPr>
            <w:r w:rsidR="6C8D4546">
              <w:rPr/>
              <w:t>At the time of interment</w:t>
            </w:r>
          </w:p>
        </w:tc>
        <w:tc>
          <w:tcPr>
            <w:tcW w:w="4590" w:type="dxa"/>
            <w:tcBorders>
              <w:top w:val="single" w:color="000000" w:themeColor="text1" w:sz="12"/>
            </w:tcBorders>
            <w:shd w:val="clear" w:color="auto" w:fill="BFBFBF" w:themeFill="background1" w:themeFillShade="BF"/>
            <w:tcMar/>
          </w:tcPr>
          <w:p w:rsidR="5D687A60" w:rsidP="5D687A60" w:rsidRDefault="5D687A60" w14:paraId="2282221C" w14:textId="22AD6689">
            <w:pPr>
              <w:pStyle w:val="Normal"/>
            </w:pPr>
            <w:r w:rsidR="5D687A60">
              <w:rPr/>
              <w:t>Resident / Long standing past resident</w:t>
            </w:r>
          </w:p>
        </w:tc>
        <w:tc>
          <w:tcPr>
            <w:tcW w:w="1830" w:type="dxa"/>
            <w:tcBorders>
              <w:top w:val="single" w:color="000000" w:themeColor="text1" w:sz="12"/>
              <w:right w:val="single" w:color="000000" w:themeColor="text1" w:sz="12"/>
            </w:tcBorders>
            <w:shd w:val="clear" w:color="auto" w:fill="BFBFBF" w:themeFill="background1" w:themeFillShade="BF"/>
            <w:tcMar/>
          </w:tcPr>
          <w:p w:rsidR="5AD836F0" w:rsidP="5D687A60" w:rsidRDefault="5AD836F0" w14:paraId="30C6CC53" w14:textId="25BE44A3">
            <w:pPr>
              <w:pStyle w:val="Normal"/>
              <w:rPr>
                <w:color w:val="FF0000"/>
              </w:rPr>
            </w:pPr>
            <w:r w:rsidRPr="5D687A60" w:rsidR="5AD836F0">
              <w:rPr>
                <w:color w:val="FF0000"/>
              </w:rPr>
              <w:t>£250.00</w:t>
            </w:r>
          </w:p>
        </w:tc>
      </w:tr>
      <w:tr w:rsidR="5D687A60" w:rsidTr="307585E5" w14:paraId="0A744CF0">
        <w:trPr>
          <w:trHeight w:val="300"/>
        </w:trPr>
        <w:tc>
          <w:tcPr>
            <w:tcW w:w="4020" w:type="dxa"/>
            <w:tcBorders>
              <w:left w:val="single" w:color="000000" w:themeColor="text1" w:sz="12"/>
              <w:bottom w:val="single" w:color="000000" w:themeColor="text1" w:sz="12"/>
            </w:tcBorders>
            <w:shd w:val="clear" w:color="auto" w:fill="BFBFBF" w:themeFill="background1" w:themeFillShade="BF"/>
            <w:tcMar/>
          </w:tcPr>
          <w:p w:rsidR="6C8D4546" w:rsidP="5D687A60" w:rsidRDefault="6C8D4546" w14:paraId="678BEA6B" w14:textId="26730810">
            <w:pPr>
              <w:pStyle w:val="Normal"/>
              <w:rPr>
                <w:b w:val="1"/>
                <w:bCs w:val="1"/>
              </w:rPr>
            </w:pPr>
            <w:r w:rsidRPr="5D687A60" w:rsidR="6C8D4546">
              <w:rPr>
                <w:b w:val="1"/>
                <w:bCs w:val="1"/>
              </w:rPr>
              <w:t>Exclusive Right of Burial Deed</w:t>
            </w:r>
          </w:p>
          <w:p w:rsidR="6C8D4546" w:rsidP="5D687A60" w:rsidRDefault="6C8D4546" w14:paraId="066D69AF" w14:textId="66ADDF01">
            <w:pPr>
              <w:pStyle w:val="Normal"/>
            </w:pPr>
            <w:r w:rsidR="6C8D4546">
              <w:rPr/>
              <w:t>Child under 10</w:t>
            </w:r>
          </w:p>
        </w:tc>
        <w:tc>
          <w:tcPr>
            <w:tcW w:w="4590" w:type="dxa"/>
            <w:shd w:val="clear" w:color="auto" w:fill="BFBFBF" w:themeFill="background1" w:themeFillShade="BF"/>
            <w:tcMar/>
          </w:tcPr>
          <w:p w:rsidR="5D687A60" w:rsidP="5D687A60" w:rsidRDefault="5D687A60" w14:paraId="3E1F8E5F" w14:textId="22AD6689">
            <w:pPr>
              <w:pStyle w:val="Normal"/>
            </w:pPr>
            <w:r w:rsidR="5D687A60">
              <w:rPr/>
              <w:t>Resident / Long standing past resident</w:t>
            </w:r>
          </w:p>
        </w:tc>
        <w:tc>
          <w:tcPr>
            <w:tcW w:w="1830" w:type="dxa"/>
            <w:tcBorders>
              <w:right w:val="single" w:color="000000" w:themeColor="text1" w:sz="12"/>
            </w:tcBorders>
            <w:shd w:val="clear" w:color="auto" w:fill="BFBFBF" w:themeFill="background1" w:themeFillShade="BF"/>
            <w:tcMar/>
          </w:tcPr>
          <w:p w:rsidR="0E1773FC" w:rsidP="5D687A60" w:rsidRDefault="0E1773FC" w14:paraId="3BACD8CA" w14:textId="5365335F">
            <w:pPr>
              <w:pStyle w:val="Normal"/>
            </w:pPr>
            <w:r w:rsidR="0E1773FC">
              <w:rPr/>
              <w:t>No Charge</w:t>
            </w:r>
          </w:p>
        </w:tc>
      </w:tr>
      <w:tr w:rsidR="5D687A60" w:rsidTr="307585E5" w14:paraId="6A831516">
        <w:trPr>
          <w:trHeight w:val="300"/>
        </w:trPr>
        <w:tc>
          <w:tcPr>
            <w:tcW w:w="4020" w:type="dxa"/>
            <w:tcBorders>
              <w:top w:val="single" w:color="000000" w:themeColor="text1" w:sz="12"/>
              <w:left w:val="single" w:color="000000" w:themeColor="text1" w:sz="12"/>
            </w:tcBorders>
            <w:tcMar/>
          </w:tcPr>
          <w:p w:rsidR="6C8D4546" w:rsidP="5D687A60" w:rsidRDefault="6C8D4546" w14:paraId="387D7855" w14:textId="1A351D42">
            <w:pPr>
              <w:pStyle w:val="Normal"/>
              <w:rPr>
                <w:b w:val="1"/>
                <w:bCs w:val="1"/>
              </w:rPr>
            </w:pPr>
            <w:r w:rsidR="6C8D4546">
              <w:rPr>
                <w:b w:val="0"/>
                <w:bCs w:val="0"/>
              </w:rPr>
              <w:t xml:space="preserve">Notice of Cremation </w:t>
            </w:r>
            <w:r w:rsidRPr="5D687A60" w:rsidR="6C8D4546">
              <w:rPr>
                <w:b w:val="1"/>
                <w:bCs w:val="1"/>
              </w:rPr>
              <w:t>Interment Fee</w:t>
            </w:r>
          </w:p>
          <w:p w:rsidR="6C8D4546" w:rsidP="5D687A60" w:rsidRDefault="6C8D4546" w14:paraId="1816CCF6" w14:textId="5FC2AC3A">
            <w:pPr>
              <w:pStyle w:val="Normal"/>
              <w:rPr>
                <w:b w:val="1"/>
                <w:bCs w:val="1"/>
              </w:rPr>
            </w:pPr>
            <w:r w:rsidR="6C8D4546">
              <w:rPr/>
              <w:t xml:space="preserve">Age 10+ </w:t>
            </w:r>
            <w:r w:rsidR="6C8D4546">
              <w:rPr/>
              <w:t>to  Adult</w:t>
            </w:r>
            <w:r w:rsidR="6C8D4546">
              <w:rPr/>
              <w:t xml:space="preserve"> </w:t>
            </w:r>
          </w:p>
        </w:tc>
        <w:tc>
          <w:tcPr>
            <w:tcW w:w="4590" w:type="dxa"/>
            <w:tcBorders>
              <w:top w:val="single" w:color="000000" w:themeColor="text1" w:sz="12"/>
            </w:tcBorders>
            <w:tcMar/>
          </w:tcPr>
          <w:p w:rsidR="5D687A60" w:rsidP="5D687A60" w:rsidRDefault="5D687A60" w14:paraId="012E92D4" w14:textId="22AD6689">
            <w:pPr>
              <w:pStyle w:val="Normal"/>
            </w:pPr>
            <w:r w:rsidR="5D687A60">
              <w:rPr/>
              <w:t>Resident / Long standing past resident</w:t>
            </w:r>
          </w:p>
        </w:tc>
        <w:tc>
          <w:tcPr>
            <w:tcW w:w="1830" w:type="dxa"/>
            <w:tcBorders>
              <w:top w:val="single" w:color="000000" w:themeColor="text1" w:sz="12"/>
              <w:right w:val="single" w:color="000000" w:themeColor="text1" w:sz="12"/>
            </w:tcBorders>
            <w:tcMar/>
          </w:tcPr>
          <w:p w:rsidR="56A32C91" w:rsidP="5D687A60" w:rsidRDefault="56A32C91" w14:paraId="66D49638" w14:textId="456EE441">
            <w:pPr>
              <w:pStyle w:val="Normal"/>
            </w:pPr>
            <w:r w:rsidR="56A32C91">
              <w:rPr/>
              <w:t>£108.68</w:t>
            </w:r>
          </w:p>
        </w:tc>
      </w:tr>
      <w:tr w:rsidR="5D687A60" w:rsidTr="307585E5" w14:paraId="7D502C95">
        <w:trPr>
          <w:trHeight w:val="300"/>
        </w:trPr>
        <w:tc>
          <w:tcPr>
            <w:tcW w:w="4020" w:type="dxa"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:rsidR="6C8D4546" w:rsidP="5D687A60" w:rsidRDefault="6C8D4546" w14:paraId="046A7FC4" w14:textId="5B7832DC">
            <w:pPr>
              <w:pStyle w:val="Normal"/>
              <w:rPr>
                <w:b w:val="1"/>
                <w:bCs w:val="1"/>
              </w:rPr>
            </w:pPr>
            <w:r w:rsidR="6C8D4546">
              <w:rPr>
                <w:b w:val="0"/>
                <w:bCs w:val="0"/>
              </w:rPr>
              <w:t xml:space="preserve">Notice of Cremation </w:t>
            </w:r>
            <w:r w:rsidRPr="5D687A60" w:rsidR="6C8D4546">
              <w:rPr>
                <w:b w:val="1"/>
                <w:bCs w:val="1"/>
              </w:rPr>
              <w:t>Interment Fee</w:t>
            </w:r>
          </w:p>
          <w:p w:rsidR="22354887" w:rsidP="5D687A60" w:rsidRDefault="22354887" w14:paraId="470ADE17" w14:textId="03C6FD25">
            <w:pPr>
              <w:pStyle w:val="Normal"/>
            </w:pPr>
            <w:r w:rsidR="22354887">
              <w:rPr/>
              <w:t>Child under 10</w:t>
            </w:r>
          </w:p>
        </w:tc>
        <w:tc>
          <w:tcPr>
            <w:tcW w:w="4590" w:type="dxa"/>
            <w:tcMar/>
          </w:tcPr>
          <w:p w:rsidR="5D687A60" w:rsidP="5D687A60" w:rsidRDefault="5D687A60" w14:paraId="27867AF7" w14:textId="22AD6689">
            <w:pPr>
              <w:pStyle w:val="Normal"/>
            </w:pPr>
            <w:r w:rsidR="5D687A60">
              <w:rPr/>
              <w:t>Resident / Long standing past resident</w:t>
            </w:r>
          </w:p>
        </w:tc>
        <w:tc>
          <w:tcPr>
            <w:tcW w:w="1830" w:type="dxa"/>
            <w:tcBorders>
              <w:right w:val="single" w:color="000000" w:themeColor="text1" w:sz="12"/>
            </w:tcBorders>
            <w:tcMar/>
          </w:tcPr>
          <w:p w:rsidR="5305BEEE" w:rsidP="5D687A60" w:rsidRDefault="5305BEEE" w14:paraId="458E329A" w14:textId="42C4C217">
            <w:pPr>
              <w:pStyle w:val="Normal"/>
            </w:pPr>
            <w:r w:rsidR="5305BEEE">
              <w:rPr/>
              <w:t>No Charge</w:t>
            </w:r>
          </w:p>
        </w:tc>
      </w:tr>
      <w:tr w:rsidR="5D687A60" w:rsidTr="307585E5" w14:paraId="341BF5A5">
        <w:trPr>
          <w:trHeight w:val="300"/>
        </w:trPr>
        <w:tc>
          <w:tcPr>
            <w:tcW w:w="10440" w:type="dxa"/>
            <w:gridSpan w:val="3"/>
            <w:tcMar/>
          </w:tcPr>
          <w:p w:rsidR="048B2A52" w:rsidP="307585E5" w:rsidRDefault="048B2A52" w14:paraId="5598D35B" w14:textId="3437615C">
            <w:pPr>
              <w:pStyle w:val="ListParagraph"/>
              <w:numPr>
                <w:ilvl w:val="0"/>
                <w:numId w:val="1"/>
              </w:numPr>
              <w:rPr>
                <w:i w:val="1"/>
                <w:iCs w:val="1"/>
                <w:sz w:val="24"/>
                <w:szCs w:val="24"/>
              </w:rPr>
            </w:pPr>
            <w:r w:rsidRPr="307585E5" w:rsidR="048B2A52">
              <w:rPr>
                <w:i w:val="1"/>
                <w:iCs w:val="1"/>
                <w:sz w:val="24"/>
                <w:szCs w:val="24"/>
              </w:rPr>
              <w:t xml:space="preserve">Exclusive Rights of Burial are for a </w:t>
            </w:r>
            <w:r w:rsidRPr="307585E5" w:rsidR="048B2A52">
              <w:rPr>
                <w:i w:val="1"/>
                <w:iCs w:val="1"/>
                <w:color w:val="FF0000"/>
                <w:sz w:val="24"/>
                <w:szCs w:val="24"/>
              </w:rPr>
              <w:t>double</w:t>
            </w:r>
            <w:r w:rsidRPr="307585E5" w:rsidR="048B2A52">
              <w:rPr>
                <w:i w:val="1"/>
                <w:iCs w:val="1"/>
                <w:sz w:val="24"/>
                <w:szCs w:val="24"/>
              </w:rPr>
              <w:t xml:space="preserve"> depth cremation plot,  100 years</w:t>
            </w:r>
          </w:p>
          <w:p w:rsidR="0F11F8B6" w:rsidP="5D687A60" w:rsidRDefault="0F11F8B6" w14:paraId="10A257FB" w14:textId="0EB76E9A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US"/>
              </w:rPr>
            </w:pPr>
            <w:r w:rsidRPr="5D687A60" w:rsidR="0F11F8B6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US"/>
              </w:rPr>
              <w:t>First Interment: Both the interment fee and the charge for the Exclusive Right of Burial must be paid.</w:t>
            </w:r>
          </w:p>
          <w:p w:rsidR="0F11F8B6" w:rsidP="5D687A60" w:rsidRDefault="0F11F8B6" w14:paraId="282E56BF" w14:textId="1298BC9A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US"/>
              </w:rPr>
            </w:pPr>
            <w:r w:rsidRPr="5D687A60" w:rsidR="0F11F8B6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US"/>
              </w:rPr>
              <w:t>Subsequent</w:t>
            </w:r>
            <w:r w:rsidRPr="5D687A60" w:rsidR="0F11F8B6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US"/>
              </w:rPr>
              <w:t xml:space="preserve"> Interments: Only the interment fee is </w:t>
            </w:r>
            <w:r w:rsidRPr="5D687A60" w:rsidR="0F11F8B6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US"/>
              </w:rPr>
              <w:t>required</w:t>
            </w:r>
            <w:r w:rsidRPr="5D687A60" w:rsidR="0F11F8B6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US"/>
              </w:rPr>
              <w:t>.</w:t>
            </w:r>
          </w:p>
        </w:tc>
      </w:tr>
    </w:tbl>
    <w:p w:rsidR="5D687A60" w:rsidRDefault="5D687A60" w14:paraId="0C58DE08" w14:textId="63DA8A12"/>
    <w:p w:rsidR="61E7E043" w:rsidP="5D687A60" w:rsidRDefault="61E7E043" w14:paraId="77FD3D3B" w14:textId="7A18A934">
      <w:pPr>
        <w:spacing w:before="240" w:beforeAutospacing="off" w:after="240" w:afterAutospacing="off"/>
      </w:pPr>
      <w:r w:rsidRPr="5D687A60" w:rsidR="61E7E0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Important Information Regarding Burial and Plot Arrangements</w:t>
      </w:r>
    </w:p>
    <w:p w:rsidR="61E7E043" w:rsidP="5D687A60" w:rsidRDefault="61E7E043" w14:paraId="1A4A0DBC" w14:textId="44EFAEA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687A60" w:rsidR="61E7E0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Plot Allocation</w:t>
      </w:r>
      <w:r w:rsidRPr="5D687A60" w:rsidR="61E7E04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All purchases and pre-purchases apply to the next available plot. </w:t>
      </w:r>
    </w:p>
    <w:p w:rsidR="61E7E043" w:rsidP="5D687A60" w:rsidRDefault="61E7E043" w14:paraId="723D197A" w14:textId="0FA26D00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687A60" w:rsidR="61E7E04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specific location of each plot is </w:t>
      </w:r>
      <w:r w:rsidRPr="5D687A60" w:rsidR="61E7E043">
        <w:rPr>
          <w:rFonts w:ascii="Aptos" w:hAnsi="Aptos" w:eastAsia="Aptos" w:cs="Aptos"/>
          <w:noProof w:val="0"/>
          <w:sz w:val="24"/>
          <w:szCs w:val="24"/>
          <w:lang w:val="en-US"/>
        </w:rPr>
        <w:t>designated</w:t>
      </w:r>
      <w:r w:rsidRPr="5D687A60" w:rsidR="61E7E04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by the </w:t>
      </w:r>
      <w:r w:rsidRPr="5D687A60" w:rsidR="00D9F25E">
        <w:rPr>
          <w:rFonts w:ascii="Aptos" w:hAnsi="Aptos" w:eastAsia="Aptos" w:cs="Aptos"/>
          <w:noProof w:val="0"/>
          <w:sz w:val="24"/>
          <w:szCs w:val="24"/>
          <w:lang w:val="en-US"/>
        </w:rPr>
        <w:t>Parish</w:t>
      </w:r>
      <w:r w:rsidRPr="5D687A60" w:rsidR="61E7E04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Clerk.</w:t>
      </w:r>
      <w:r w:rsidRPr="5D687A60" w:rsidR="785BD8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785BD8C6" w:rsidP="5D687A60" w:rsidRDefault="785BD8C6" w14:paraId="797EA768" w14:textId="024072A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lang w:val="en-US"/>
        </w:rPr>
      </w:pPr>
      <w:r w:rsidRPr="5D687A60" w:rsidR="785BD8C6">
        <w:rPr>
          <w:noProof w:val="0"/>
          <w:lang w:val="en-US"/>
        </w:rPr>
        <w:t xml:space="preserve">A </w:t>
      </w:r>
      <w:r w:rsidRPr="5D687A60" w:rsidR="785BD8C6">
        <w:rPr>
          <w:b w:val="1"/>
          <w:bCs w:val="1"/>
          <w:noProof w:val="0"/>
          <w:lang w:val="en-US"/>
        </w:rPr>
        <w:t>Right of Burial Deed</w:t>
      </w:r>
      <w:r w:rsidRPr="5D687A60" w:rsidR="785BD8C6">
        <w:rPr>
          <w:noProof w:val="0"/>
          <w:lang w:val="en-US"/>
        </w:rPr>
        <w:t xml:space="preserve">—often called a </w:t>
      </w:r>
      <w:r w:rsidRPr="5D687A60" w:rsidR="785BD8C6">
        <w:rPr>
          <w:b w:val="1"/>
          <w:bCs w:val="1"/>
          <w:noProof w:val="0"/>
          <w:lang w:val="en-US"/>
        </w:rPr>
        <w:t>Deed of Exclusive Right of Burial</w:t>
      </w:r>
      <w:r w:rsidRPr="5D687A60" w:rsidR="785BD8C6">
        <w:rPr>
          <w:noProof w:val="0"/>
          <w:lang w:val="en-US"/>
        </w:rPr>
        <w:t xml:space="preserve">—is a legal document that grants a person the right to be buried in a specific grave plot. It </w:t>
      </w:r>
      <w:r w:rsidRPr="5D687A60" w:rsidR="785BD8C6">
        <w:rPr>
          <w:noProof w:val="0"/>
          <w:lang w:val="en-US"/>
        </w:rPr>
        <w:t>doesn’t</w:t>
      </w:r>
      <w:r w:rsidRPr="5D687A60" w:rsidR="785BD8C6">
        <w:rPr>
          <w:noProof w:val="0"/>
          <w:lang w:val="en-US"/>
        </w:rPr>
        <w:t xml:space="preserve"> mean you own the land, but it gives you control over who can be buried there and what memorials may be placed.</w:t>
      </w:r>
    </w:p>
    <w:p w:rsidR="5D687A60" w:rsidP="5D687A60" w:rsidRDefault="5D687A60" w14:paraId="590D5CB5" w14:textId="1C7406CA">
      <w:pPr>
        <w:pStyle w:val="ListParagraph"/>
        <w:spacing w:before="240" w:beforeAutospacing="off" w:after="240" w:afterAutospacing="off"/>
        <w:ind w:left="720"/>
        <w:rPr>
          <w:noProof w:val="0"/>
          <w:lang w:val="en-US"/>
        </w:rPr>
      </w:pPr>
    </w:p>
    <w:p w:rsidR="004271CD" w:rsidP="5D687A60" w:rsidRDefault="004271CD" w14:paraId="31689F99" w14:textId="1863445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lang w:val="en-US"/>
        </w:rPr>
      </w:pPr>
      <w:r w:rsidRPr="5D687A60" w:rsidR="004271CD">
        <w:rPr>
          <w:noProof w:val="0"/>
          <w:lang w:val="en-US"/>
        </w:rPr>
        <w:t xml:space="preserve">An </w:t>
      </w:r>
      <w:r w:rsidRPr="5D687A60" w:rsidR="004271CD">
        <w:rPr>
          <w:b w:val="1"/>
          <w:bCs w:val="1"/>
          <w:noProof w:val="0"/>
          <w:lang w:val="en-US"/>
        </w:rPr>
        <w:t>interment fee</w:t>
      </w:r>
      <w:r w:rsidRPr="5D687A60" w:rsidR="004271CD">
        <w:rPr>
          <w:noProof w:val="0"/>
          <w:lang w:val="en-US"/>
        </w:rPr>
        <w:t xml:space="preserve"> is the charge for burying a person’s </w:t>
      </w:r>
      <w:r w:rsidRPr="5D687A60" w:rsidR="004271CD">
        <w:rPr>
          <w:noProof w:val="0"/>
          <w:lang w:val="en-US"/>
        </w:rPr>
        <w:t>remains</w:t>
      </w:r>
      <w:r w:rsidRPr="5D687A60" w:rsidR="004271CD">
        <w:rPr>
          <w:noProof w:val="0"/>
          <w:lang w:val="en-US"/>
        </w:rPr>
        <w:t xml:space="preserve"> in a grave or cremation plot at the time of a funeral. It typically covers the administrative costs related to the burial process</w:t>
      </w:r>
    </w:p>
    <w:p w:rsidR="5D687A60" w:rsidP="5D687A60" w:rsidRDefault="5D687A60" w14:paraId="50072B7E" w14:textId="21B28740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1E7E043" w:rsidP="5D687A60" w:rsidRDefault="61E7E043" w14:paraId="0E5B7A6B" w14:textId="5939672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687A60" w:rsidR="61E7E0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Plot Types and Charges</w:t>
      </w:r>
      <w:r w:rsidRPr="5D687A60" w:rsidR="61E7E043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p w:rsidR="61E7E043" w:rsidP="5D687A60" w:rsidRDefault="61E7E043" w14:paraId="0F05E46B" w14:textId="10AD43E2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B28FFB" w:rsidR="61E7E043">
        <w:rPr>
          <w:rFonts w:ascii="Aptos" w:hAnsi="Aptos" w:eastAsia="Aptos" w:cs="Aptos"/>
          <w:noProof w:val="0"/>
          <w:sz w:val="24"/>
          <w:szCs w:val="24"/>
          <w:lang w:val="en-US"/>
        </w:rPr>
        <w:t>Single</w:t>
      </w:r>
      <w:r w:rsidRPr="2DB28FFB" w:rsidR="3AD0B4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double </w:t>
      </w:r>
      <w:r w:rsidRPr="2DB28FFB" w:rsidR="61E7E043">
        <w:rPr>
          <w:rFonts w:ascii="Aptos" w:hAnsi="Aptos" w:eastAsia="Aptos" w:cs="Aptos"/>
          <w:noProof w:val="0"/>
          <w:sz w:val="24"/>
          <w:szCs w:val="24"/>
          <w:lang w:val="en-US"/>
        </w:rPr>
        <w:t>depth burial plots are available.</w:t>
      </w:r>
    </w:p>
    <w:p w:rsidR="5D687A60" w:rsidP="5D687A60" w:rsidRDefault="5D687A60" w14:paraId="4257CE78" w14:textId="7FBBA7A6">
      <w:pPr>
        <w:pStyle w:val="ListParagraph"/>
        <w:spacing w:before="240" w:beforeAutospacing="off" w:after="24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1E7E043" w:rsidP="5D687A60" w:rsidRDefault="61E7E043" w14:paraId="11146887" w14:textId="5DD50F5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687A60" w:rsidR="61E7E0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Gravedigger Requirement</w:t>
      </w:r>
      <w:r w:rsidRPr="5D687A60" w:rsidR="61E7E043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p w:rsidR="61E7E043" w:rsidP="5D687A60" w:rsidRDefault="61E7E043" w14:paraId="5AAA160A" w14:textId="5A050EBB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687A60" w:rsidR="61E7E04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funeral </w:t>
      </w:r>
      <w:r w:rsidRPr="5D687A60" w:rsidR="61E7E043">
        <w:rPr>
          <w:rFonts w:ascii="Aptos" w:hAnsi="Aptos" w:eastAsia="Aptos" w:cs="Aptos"/>
          <w:noProof w:val="0"/>
          <w:sz w:val="24"/>
          <w:szCs w:val="24"/>
          <w:lang w:val="en-US"/>
        </w:rPr>
        <w:t>organiser</w:t>
      </w:r>
      <w:r w:rsidRPr="5D687A60" w:rsidR="61E7E04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must appoint an approved gravedigger</w:t>
      </w:r>
      <w:r w:rsidRPr="5D687A60" w:rsidR="03DD3D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coordinate payment and dates</w:t>
      </w:r>
      <w:r w:rsidRPr="5D687A60" w:rsidR="5CC6799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both burial and cremations.</w:t>
      </w:r>
    </w:p>
    <w:p w:rsidR="5D687A60" w:rsidP="5D687A60" w:rsidRDefault="5D687A60" w14:paraId="3C615E90" w14:textId="3556562C">
      <w:pPr>
        <w:pStyle w:val="ListParagraph"/>
        <w:spacing w:before="240" w:beforeAutospacing="off" w:after="24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1E7E043" w:rsidP="5D687A60" w:rsidRDefault="61E7E043" w14:paraId="7948D333" w14:textId="46745CD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687A60" w:rsidR="61E7E0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Definitions</w:t>
      </w:r>
      <w:r w:rsidRPr="5D687A60" w:rsidR="61E7E043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p w:rsidR="61E7E043" w:rsidP="5D687A60" w:rsidRDefault="61E7E043" w14:paraId="7C950834" w14:textId="202A625C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687A60" w:rsidR="61E7E04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Resident</w:t>
      </w:r>
      <w:r w:rsidRPr="5D687A60" w:rsidR="61E7E04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An individual who </w:t>
      </w:r>
      <w:r w:rsidRPr="5D687A60" w:rsidR="61E7E043">
        <w:rPr>
          <w:rFonts w:ascii="Aptos" w:hAnsi="Aptos" w:eastAsia="Aptos" w:cs="Aptos"/>
          <w:noProof w:val="0"/>
          <w:sz w:val="24"/>
          <w:szCs w:val="24"/>
          <w:lang w:val="en-US"/>
        </w:rPr>
        <w:t>resided</w:t>
      </w:r>
      <w:r w:rsidRPr="5D687A60" w:rsidR="61E7E04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the Parish of </w:t>
      </w:r>
      <w:r w:rsidRPr="5D687A60" w:rsidR="43624FE3">
        <w:rPr>
          <w:rFonts w:ascii="Aptos" w:hAnsi="Aptos" w:eastAsia="Aptos" w:cs="Aptos"/>
          <w:noProof w:val="0"/>
          <w:sz w:val="24"/>
          <w:szCs w:val="24"/>
          <w:lang w:val="en-US"/>
        </w:rPr>
        <w:t>Blunsdon</w:t>
      </w:r>
      <w:r w:rsidRPr="5D687A60" w:rsidR="61E7E04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at the time of death.</w:t>
      </w:r>
    </w:p>
    <w:p w:rsidR="1D28C73A" w:rsidP="5D687A60" w:rsidRDefault="1D28C73A" w14:paraId="79BB12F6" w14:textId="7B896E69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b w:val="0"/>
          <w:bCs w:val="0"/>
          <w:i w:val="1"/>
          <w:iCs w:val="1"/>
          <w:noProof w:val="0"/>
          <w:lang w:val="en-US"/>
        </w:rPr>
      </w:pPr>
      <w:r w:rsidRPr="5D687A60" w:rsidR="1D28C73A">
        <w:rPr>
          <w:b w:val="0"/>
          <w:bCs w:val="0"/>
          <w:i w:val="1"/>
          <w:iCs w:val="1"/>
          <w:noProof w:val="0"/>
          <w:lang w:val="en-US"/>
        </w:rPr>
        <w:t>Past Resident</w:t>
      </w:r>
      <w:r w:rsidRPr="5D687A60" w:rsidR="1D28C73A">
        <w:rPr>
          <w:b w:val="0"/>
          <w:bCs w:val="0"/>
          <w:i w:val="1"/>
          <w:iCs w:val="1"/>
          <w:noProof w:val="0"/>
          <w:lang w:val="en-US"/>
        </w:rPr>
        <w:t xml:space="preserve">: An individual who </w:t>
      </w:r>
      <w:r w:rsidRPr="5D687A60" w:rsidR="1D28C73A">
        <w:rPr>
          <w:b w:val="0"/>
          <w:bCs w:val="0"/>
          <w:i w:val="1"/>
          <w:iCs w:val="1"/>
          <w:noProof w:val="0"/>
          <w:lang w:val="en-US"/>
        </w:rPr>
        <w:t>relocated</w:t>
      </w:r>
      <w:r w:rsidRPr="5D687A60" w:rsidR="1D28C73A">
        <w:rPr>
          <w:b w:val="0"/>
          <w:bCs w:val="0"/>
          <w:i w:val="1"/>
          <w:iCs w:val="1"/>
          <w:noProof w:val="0"/>
          <w:lang w:val="en-US"/>
        </w:rPr>
        <w:t xml:space="preserve"> from the Parish of Blunsdon into care due to age or ill health within two years prior to their death may, at the Parish Clerk’s discretion, still be </w:t>
      </w:r>
      <w:r w:rsidRPr="5D687A60" w:rsidR="1D28C73A">
        <w:rPr>
          <w:b w:val="0"/>
          <w:bCs w:val="0"/>
          <w:i w:val="1"/>
          <w:iCs w:val="1"/>
          <w:noProof w:val="0"/>
          <w:lang w:val="en-US"/>
        </w:rPr>
        <w:t>recognised</w:t>
      </w:r>
      <w:r w:rsidRPr="5D687A60" w:rsidR="1D28C73A">
        <w:rPr>
          <w:b w:val="0"/>
          <w:bCs w:val="0"/>
          <w:i w:val="1"/>
          <w:iCs w:val="1"/>
          <w:noProof w:val="0"/>
          <w:lang w:val="en-US"/>
        </w:rPr>
        <w:t xml:space="preserve"> as a Resident for the purposes of burial.</w:t>
      </w:r>
    </w:p>
    <w:p w:rsidR="5D687A60" w:rsidP="5D687A60" w:rsidRDefault="5D687A60" w14:paraId="5FBF60A8" w14:textId="0ADFCF0B">
      <w:pPr>
        <w:pStyle w:val="ListParagraph"/>
        <w:spacing w:before="240" w:beforeAutospacing="off" w:after="24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065"/>
        <w:gridCol w:w="3705"/>
        <w:gridCol w:w="3030"/>
      </w:tblGrid>
      <w:tr w:rsidR="5D687A60" w:rsidTr="2DB28FFB" w14:paraId="18D75943">
        <w:trPr>
          <w:trHeight w:val="300"/>
        </w:trPr>
        <w:tc>
          <w:tcPr>
            <w:tcW w:w="10800" w:type="dxa"/>
            <w:gridSpan w:val="3"/>
            <w:tcMar/>
          </w:tcPr>
          <w:p w:rsidR="6A3A5680" w:rsidP="5D687A60" w:rsidRDefault="6A3A5680" w14:paraId="535F1833" w14:textId="10D0C405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D687A60" w:rsidR="6A3A5680">
              <w:rPr>
                <w:rFonts w:ascii="Aptos" w:hAnsi="Aptos" w:eastAsia="Aptos" w:cs="Aptos"/>
                <w:b w:val="1"/>
                <w:bCs w:val="1"/>
                <w:noProof w:val="0"/>
                <w:sz w:val="28"/>
                <w:szCs w:val="28"/>
                <w:lang w:val="en-US"/>
              </w:rPr>
              <w:t>Memorial</w:t>
            </w:r>
            <w:r w:rsidRPr="5D687A60" w:rsidR="5A330191">
              <w:rPr>
                <w:rFonts w:ascii="Aptos" w:hAnsi="Aptos" w:eastAsia="Aptos" w:cs="Aptos"/>
                <w:b w:val="1"/>
                <w:bCs w:val="1"/>
                <w:noProof w:val="0"/>
                <w:sz w:val="28"/>
                <w:szCs w:val="28"/>
                <w:lang w:val="en-US"/>
              </w:rPr>
              <w:t xml:space="preserve"> Charges</w:t>
            </w:r>
          </w:p>
        </w:tc>
      </w:tr>
      <w:tr w:rsidR="5D687A60" w:rsidTr="2DB28FFB" w14:paraId="029857F8">
        <w:trPr>
          <w:trHeight w:val="300"/>
        </w:trPr>
        <w:tc>
          <w:tcPr>
            <w:tcW w:w="4065" w:type="dxa"/>
            <w:tcMar/>
          </w:tcPr>
          <w:p w:rsidR="6A3A5680" w:rsidP="5D687A60" w:rsidRDefault="6A3A5680" w14:paraId="02E0B1BB" w14:textId="33F535DE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5D687A60" w:rsidR="6A3A5680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Memorial Permit for Burial Headstone</w:t>
            </w:r>
            <w:r w:rsidRPr="5D687A60" w:rsidR="762D4065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05" w:type="dxa"/>
            <w:tcMar/>
          </w:tcPr>
          <w:p w:rsidR="7AF410C7" w:rsidP="5D687A60" w:rsidRDefault="7AF410C7" w14:paraId="333167D9" w14:textId="18FF46C6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D687A60" w:rsidR="7AF410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Under 5ft</w:t>
            </w:r>
          </w:p>
        </w:tc>
        <w:tc>
          <w:tcPr>
            <w:tcW w:w="3030" w:type="dxa"/>
            <w:tcMar/>
          </w:tcPr>
          <w:p w:rsidR="7C8B5F7D" w:rsidP="5D687A60" w:rsidRDefault="7C8B5F7D" w14:paraId="1F1C2C5E" w14:textId="47773EC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D687A60" w:rsidR="7C8B5F7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£1</w:t>
            </w:r>
            <w:r w:rsidRPr="5D687A60" w:rsidR="643A800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40.76</w:t>
            </w:r>
          </w:p>
        </w:tc>
      </w:tr>
      <w:tr w:rsidR="5D687A60" w:rsidTr="2DB28FFB" w14:paraId="31AE56A6">
        <w:trPr>
          <w:trHeight w:val="300"/>
        </w:trPr>
        <w:tc>
          <w:tcPr>
            <w:tcW w:w="4065" w:type="dxa"/>
            <w:tcMar/>
          </w:tcPr>
          <w:p w:rsidR="6A3A5680" w:rsidP="5D687A60" w:rsidRDefault="6A3A5680" w14:paraId="52B741BE" w14:textId="6D368939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2DB28FFB" w:rsidR="5CC4A5DD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Memorial Permit for </w:t>
            </w:r>
            <w:r w:rsidRPr="2DB28FFB" w:rsidR="1D002AE6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Burial </w:t>
            </w:r>
            <w:r w:rsidRPr="2DB28FFB" w:rsidR="1BE07F91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Headstone </w:t>
            </w:r>
          </w:p>
          <w:p w:rsidR="5D687A60" w:rsidP="5D687A60" w:rsidRDefault="5D687A60" w14:paraId="1D294C59" w14:textId="36F81452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705" w:type="dxa"/>
            <w:tcMar/>
          </w:tcPr>
          <w:p w:rsidR="33CB67A8" w:rsidP="5D687A60" w:rsidRDefault="33CB67A8" w14:paraId="3B585868" w14:textId="7E78EDD0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D687A60" w:rsidR="33CB67A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Under 2ft</w:t>
            </w:r>
          </w:p>
        </w:tc>
        <w:tc>
          <w:tcPr>
            <w:tcW w:w="3030" w:type="dxa"/>
            <w:tcMar/>
          </w:tcPr>
          <w:p w:rsidR="6C0C1A32" w:rsidP="5D687A60" w:rsidRDefault="6C0C1A32" w14:paraId="065C2E41" w14:textId="0FE5832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D687A60" w:rsidR="6C0C1A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£1</w:t>
            </w:r>
            <w:r w:rsidRPr="5D687A60" w:rsidR="4AF6561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0</w:t>
            </w:r>
            <w:r w:rsidRPr="5D687A60" w:rsidR="51A8BB5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0.76</w:t>
            </w:r>
          </w:p>
        </w:tc>
      </w:tr>
      <w:tr w:rsidR="5D687A60" w:rsidTr="2DB28FFB" w14:paraId="69240511">
        <w:trPr>
          <w:trHeight w:val="300"/>
        </w:trPr>
        <w:tc>
          <w:tcPr>
            <w:tcW w:w="4065" w:type="dxa"/>
            <w:tcMar/>
          </w:tcPr>
          <w:p w:rsidR="33844531" w:rsidP="5D687A60" w:rsidRDefault="33844531" w14:paraId="38A76225" w14:textId="52303E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-450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5D687A60" w:rsidR="33844531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Memorial permit for Vase or Tablet for Cremation Plot </w:t>
            </w:r>
          </w:p>
        </w:tc>
        <w:tc>
          <w:tcPr>
            <w:tcW w:w="3705" w:type="dxa"/>
            <w:tcMar/>
          </w:tcPr>
          <w:p w:rsidR="64ED74E0" w:rsidP="5D687A60" w:rsidRDefault="64ED74E0" w14:paraId="724C3641" w14:textId="2FCB8AF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66723EDF" w:rsidR="64ED74E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Up to </w:t>
            </w:r>
            <w:r w:rsidRPr="66723EDF" w:rsidR="1AE574D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1ft x 1ft</w:t>
            </w:r>
          </w:p>
        </w:tc>
        <w:tc>
          <w:tcPr>
            <w:tcW w:w="3030" w:type="dxa"/>
            <w:tcMar/>
          </w:tcPr>
          <w:p w:rsidR="09628BD7" w:rsidP="5D687A60" w:rsidRDefault="09628BD7" w14:paraId="36ABD157" w14:textId="76FA4E0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D687A60" w:rsidR="09628BD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£77.63</w:t>
            </w:r>
          </w:p>
        </w:tc>
      </w:tr>
      <w:tr w:rsidR="5D687A60" w:rsidTr="2DB28FFB" w14:paraId="7FAAB3CA">
        <w:trPr>
          <w:trHeight w:val="300"/>
        </w:trPr>
        <w:tc>
          <w:tcPr>
            <w:tcW w:w="4065" w:type="dxa"/>
            <w:tcMar/>
          </w:tcPr>
          <w:p w:rsidR="4E63D69C" w:rsidP="5D687A60" w:rsidRDefault="4E63D69C" w14:paraId="0852DAE8" w14:textId="2F5CA2ED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5D687A60" w:rsidR="4E63D69C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Additional Inscription</w:t>
            </w:r>
          </w:p>
        </w:tc>
        <w:tc>
          <w:tcPr>
            <w:tcW w:w="3705" w:type="dxa"/>
            <w:tcMar/>
          </w:tcPr>
          <w:p w:rsidR="5D687A60" w:rsidP="5D687A60" w:rsidRDefault="5D687A60" w14:paraId="52C6FA4C" w14:textId="0F07B1E6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030" w:type="dxa"/>
            <w:tcMar/>
          </w:tcPr>
          <w:p w:rsidR="71AAB983" w:rsidP="5D687A60" w:rsidRDefault="71AAB983" w14:paraId="16F1F388" w14:textId="26F6B74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D687A60" w:rsidR="71AAB98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£77.63</w:t>
            </w:r>
          </w:p>
        </w:tc>
      </w:tr>
      <w:tr w:rsidR="5D687A60" w:rsidTr="2DB28FFB" w14:paraId="23F6A0BB">
        <w:trPr>
          <w:trHeight w:val="300"/>
        </w:trPr>
        <w:tc>
          <w:tcPr>
            <w:tcW w:w="4065" w:type="dxa"/>
            <w:tcMar/>
          </w:tcPr>
          <w:p w:rsidR="6A3A5680" w:rsidP="5D687A60" w:rsidRDefault="6A3A5680" w14:paraId="15D56F6B" w14:textId="3E1E9C23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5D687A60" w:rsidR="6A3A5680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Replacement Memorial Stone</w:t>
            </w:r>
          </w:p>
        </w:tc>
        <w:tc>
          <w:tcPr>
            <w:tcW w:w="3705" w:type="dxa"/>
            <w:tcMar/>
          </w:tcPr>
          <w:p w:rsidR="5D687A60" w:rsidP="5D687A60" w:rsidRDefault="5D687A60" w14:paraId="6317A47D" w14:textId="0F41D33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030" w:type="dxa"/>
            <w:tcMar/>
          </w:tcPr>
          <w:p w:rsidR="6D5B1C2C" w:rsidP="5D687A60" w:rsidRDefault="6D5B1C2C" w14:paraId="21005DB0" w14:textId="15A18DE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D687A60" w:rsidR="6D5B1C2C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£77.63</w:t>
            </w:r>
          </w:p>
        </w:tc>
      </w:tr>
    </w:tbl>
    <w:p w:rsidR="76CC8308" w:rsidP="5D687A60" w:rsidRDefault="76CC8308" w14:paraId="6C1FCFCD" w14:textId="34778ECA">
      <w:pPr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687A60" w:rsidR="76CC83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</w:t>
      </w:r>
      <w:r w:rsidRPr="5D687A60" w:rsidR="76CC83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memorial permit</w:t>
      </w:r>
      <w:r w:rsidRPr="5D687A60" w:rsidR="76CC83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an official approval </w:t>
      </w:r>
      <w:r w:rsidRPr="5D687A60" w:rsidR="76CC8308">
        <w:rPr>
          <w:rFonts w:ascii="Aptos" w:hAnsi="Aptos" w:eastAsia="Aptos" w:cs="Aptos"/>
          <w:noProof w:val="0"/>
          <w:sz w:val="24"/>
          <w:szCs w:val="24"/>
          <w:lang w:val="en-US"/>
        </w:rPr>
        <w:t>required</w:t>
      </w:r>
      <w:r w:rsidRPr="5D687A60" w:rsidR="76CC83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before placing, </w:t>
      </w:r>
      <w:r w:rsidRPr="5D687A60" w:rsidR="76CC8308">
        <w:rPr>
          <w:rFonts w:ascii="Aptos" w:hAnsi="Aptos" w:eastAsia="Aptos" w:cs="Aptos"/>
          <w:noProof w:val="0"/>
          <w:sz w:val="24"/>
          <w:szCs w:val="24"/>
          <w:lang w:val="en-US"/>
        </w:rPr>
        <w:t>modifying</w:t>
      </w:r>
      <w:r w:rsidRPr="5D687A60" w:rsidR="76CC83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or </w:t>
      </w:r>
      <w:r w:rsidRPr="5D687A60" w:rsidR="76CC8308">
        <w:rPr>
          <w:rFonts w:ascii="Aptos" w:hAnsi="Aptos" w:eastAsia="Aptos" w:cs="Aptos"/>
          <w:noProof w:val="0"/>
          <w:sz w:val="24"/>
          <w:szCs w:val="24"/>
          <w:lang w:val="en-US"/>
        </w:rPr>
        <w:t>maintaining</w:t>
      </w:r>
      <w:r w:rsidRPr="5D687A60" w:rsidR="76CC83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memorial</w:t>
      </w:r>
      <w:r w:rsidRPr="5D687A60" w:rsidR="76CA527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5D687A60" w:rsidR="76CC8308">
        <w:rPr>
          <w:rFonts w:ascii="Aptos" w:hAnsi="Aptos" w:eastAsia="Aptos" w:cs="Aptos"/>
          <w:noProof w:val="0"/>
          <w:sz w:val="24"/>
          <w:szCs w:val="24"/>
          <w:lang w:val="en-US"/>
        </w:rPr>
        <w:t>such as a headstone, plaque, or monument within a cemetery</w:t>
      </w:r>
      <w:r w:rsidRPr="5D687A60" w:rsidR="68D7787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it should be </w:t>
      </w:r>
      <w:r w:rsidRPr="5D687A60" w:rsidR="68D77879">
        <w:rPr>
          <w:rFonts w:ascii="Aptos" w:hAnsi="Aptos" w:eastAsia="Aptos" w:cs="Aptos"/>
          <w:noProof w:val="0"/>
          <w:sz w:val="24"/>
          <w:szCs w:val="24"/>
          <w:lang w:val="en-US"/>
        </w:rPr>
        <w:t>submitted</w:t>
      </w:r>
      <w:r w:rsidRPr="5D687A60" w:rsidR="68D7787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the Parish by the Stonemasons for </w:t>
      </w:r>
      <w:r w:rsidRPr="5D687A60" w:rsidR="68D77879">
        <w:rPr>
          <w:rFonts w:ascii="Aptos" w:hAnsi="Aptos" w:eastAsia="Aptos" w:cs="Aptos"/>
          <w:noProof w:val="0"/>
          <w:sz w:val="24"/>
          <w:szCs w:val="24"/>
          <w:lang w:val="en-US"/>
        </w:rPr>
        <w:t>authorisation</w:t>
      </w:r>
      <w:r w:rsidRPr="5D687A60" w:rsidR="68D77879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5D687A60" w:rsidP="5D687A60" w:rsidRDefault="5D687A60" w14:paraId="7B08B4F7" w14:textId="173CD57D">
      <w:pPr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5D687A60" w:rsidTr="5D687A60" w14:paraId="0CE6BB12">
        <w:trPr>
          <w:trHeight w:val="300"/>
        </w:trPr>
        <w:tc>
          <w:tcPr>
            <w:tcW w:w="10800" w:type="dxa"/>
            <w:gridSpan w:val="2"/>
            <w:tcMar/>
          </w:tcPr>
          <w:p w:rsidR="2658B607" w:rsidP="5D687A60" w:rsidRDefault="2658B607" w14:paraId="4244745A" w14:textId="2206E3FF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D687A60" w:rsidR="2658B607">
              <w:rPr>
                <w:rFonts w:ascii="Aptos" w:hAnsi="Aptos" w:eastAsia="Aptos" w:cs="Aptos"/>
                <w:b w:val="1"/>
                <w:bCs w:val="1"/>
                <w:noProof w:val="0"/>
                <w:sz w:val="28"/>
                <w:szCs w:val="28"/>
                <w:lang w:val="en-US"/>
              </w:rPr>
              <w:t>Administration Charges</w:t>
            </w:r>
          </w:p>
        </w:tc>
      </w:tr>
      <w:tr w:rsidR="5D687A60" w:rsidTr="5D687A60" w14:paraId="6395068F">
        <w:trPr>
          <w:trHeight w:val="300"/>
        </w:trPr>
        <w:tc>
          <w:tcPr>
            <w:tcW w:w="5400" w:type="dxa"/>
            <w:tcMar/>
          </w:tcPr>
          <w:p w:rsidR="3EA66F30" w:rsidP="5D687A60" w:rsidRDefault="3EA66F30" w14:paraId="497BA690" w14:textId="1962F62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D687A60" w:rsidR="3EA66F3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Copy of Deed of Exclusive Right</w:t>
            </w:r>
          </w:p>
        </w:tc>
        <w:tc>
          <w:tcPr>
            <w:tcW w:w="5400" w:type="dxa"/>
            <w:tcMar/>
          </w:tcPr>
          <w:p w:rsidR="739FA1F4" w:rsidP="5D687A60" w:rsidRDefault="739FA1F4" w14:paraId="43DBD95B" w14:textId="63B81AAC">
            <w:pPr>
              <w:pStyle w:val="Normal"/>
              <w:rPr>
                <w:rFonts w:ascii="Aptos" w:hAnsi="Aptos" w:eastAsia="Aptos" w:cs="Aptos"/>
                <w:noProof w:val="0"/>
                <w:color w:val="FF0000"/>
                <w:sz w:val="24"/>
                <w:szCs w:val="24"/>
                <w:lang w:val="en-US"/>
              </w:rPr>
            </w:pPr>
            <w:r w:rsidRPr="5D687A60" w:rsidR="739FA1F4">
              <w:rPr>
                <w:rFonts w:ascii="Aptos" w:hAnsi="Aptos" w:eastAsia="Aptos" w:cs="Aptos"/>
                <w:noProof w:val="0"/>
                <w:color w:val="FF0000"/>
                <w:sz w:val="24"/>
                <w:szCs w:val="24"/>
                <w:lang w:val="en-US"/>
              </w:rPr>
              <w:t>£15.00</w:t>
            </w:r>
          </w:p>
        </w:tc>
      </w:tr>
      <w:tr w:rsidR="5D687A60" w:rsidTr="5D687A60" w14:paraId="314E4838">
        <w:trPr>
          <w:trHeight w:val="300"/>
        </w:trPr>
        <w:tc>
          <w:tcPr>
            <w:tcW w:w="5400" w:type="dxa"/>
            <w:tcMar/>
          </w:tcPr>
          <w:p w:rsidR="3EA66F30" w:rsidP="5D687A60" w:rsidRDefault="3EA66F30" w14:paraId="309ADF86" w14:textId="12598CD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D687A60" w:rsidR="3EA66F3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Transfer of Grave Ownership</w:t>
            </w:r>
          </w:p>
        </w:tc>
        <w:tc>
          <w:tcPr>
            <w:tcW w:w="5400" w:type="dxa"/>
            <w:tcMar/>
          </w:tcPr>
          <w:p w:rsidR="75A6CA36" w:rsidP="5D687A60" w:rsidRDefault="75A6CA36" w14:paraId="2887CCA1" w14:textId="5B6EDEC8">
            <w:pPr>
              <w:pStyle w:val="Normal"/>
              <w:rPr>
                <w:rFonts w:ascii="Aptos" w:hAnsi="Aptos" w:eastAsia="Aptos" w:cs="Aptos"/>
                <w:noProof w:val="0"/>
                <w:color w:val="FF0000"/>
                <w:sz w:val="24"/>
                <w:szCs w:val="24"/>
                <w:lang w:val="en-US"/>
              </w:rPr>
            </w:pPr>
            <w:r w:rsidRPr="5D687A60" w:rsidR="75A6CA36">
              <w:rPr>
                <w:rFonts w:ascii="Aptos" w:hAnsi="Aptos" w:eastAsia="Aptos" w:cs="Aptos"/>
                <w:noProof w:val="0"/>
                <w:color w:val="FF0000"/>
                <w:sz w:val="24"/>
                <w:szCs w:val="24"/>
                <w:lang w:val="en-US"/>
              </w:rPr>
              <w:t>£50.00</w:t>
            </w:r>
          </w:p>
        </w:tc>
      </w:tr>
    </w:tbl>
    <w:p w:rsidR="5D687A60" w:rsidRDefault="5D687A60" w14:paraId="4A9D68BC" w14:textId="566C0597"/>
    <w:p w:rsidR="5D687A60" w:rsidP="5D687A60" w:rsidRDefault="5D687A60" w14:paraId="2CC467C4" w14:textId="28EA403F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3b7c8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99a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69068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10120C"/>
    <w:rsid w:val="004271CD"/>
    <w:rsid w:val="004F6909"/>
    <w:rsid w:val="0063C358"/>
    <w:rsid w:val="0063C358"/>
    <w:rsid w:val="00D9F25E"/>
    <w:rsid w:val="01E0784E"/>
    <w:rsid w:val="02651281"/>
    <w:rsid w:val="02651281"/>
    <w:rsid w:val="03B7E53A"/>
    <w:rsid w:val="03DD3D56"/>
    <w:rsid w:val="040EBBFA"/>
    <w:rsid w:val="04792547"/>
    <w:rsid w:val="048B2A52"/>
    <w:rsid w:val="0534D649"/>
    <w:rsid w:val="058DE793"/>
    <w:rsid w:val="065977A6"/>
    <w:rsid w:val="06B5BE22"/>
    <w:rsid w:val="0894B2A6"/>
    <w:rsid w:val="0927CE11"/>
    <w:rsid w:val="0961E6D0"/>
    <w:rsid w:val="0961E6D0"/>
    <w:rsid w:val="09628BD7"/>
    <w:rsid w:val="097DE61E"/>
    <w:rsid w:val="097DE61E"/>
    <w:rsid w:val="09D15129"/>
    <w:rsid w:val="0AC6B360"/>
    <w:rsid w:val="0B59FE96"/>
    <w:rsid w:val="0D8BA729"/>
    <w:rsid w:val="0DD0A2AE"/>
    <w:rsid w:val="0E1773FC"/>
    <w:rsid w:val="0F11F8B6"/>
    <w:rsid w:val="1010120C"/>
    <w:rsid w:val="10AF7DC1"/>
    <w:rsid w:val="11BB6791"/>
    <w:rsid w:val="11FA363B"/>
    <w:rsid w:val="14A6EFE9"/>
    <w:rsid w:val="14A6EFE9"/>
    <w:rsid w:val="177C6E64"/>
    <w:rsid w:val="17F41B36"/>
    <w:rsid w:val="1821E944"/>
    <w:rsid w:val="18D6468A"/>
    <w:rsid w:val="18E46852"/>
    <w:rsid w:val="1AE574D9"/>
    <w:rsid w:val="1B10BA28"/>
    <w:rsid w:val="1B2C83C1"/>
    <w:rsid w:val="1BB4AD94"/>
    <w:rsid w:val="1BE07F91"/>
    <w:rsid w:val="1C18CE48"/>
    <w:rsid w:val="1C7608AF"/>
    <w:rsid w:val="1C7608AF"/>
    <w:rsid w:val="1D002AE6"/>
    <w:rsid w:val="1D28C73A"/>
    <w:rsid w:val="1D95D219"/>
    <w:rsid w:val="1DE188B9"/>
    <w:rsid w:val="20B29A56"/>
    <w:rsid w:val="21D2B421"/>
    <w:rsid w:val="22354887"/>
    <w:rsid w:val="224346F6"/>
    <w:rsid w:val="227320EF"/>
    <w:rsid w:val="23CDDF3D"/>
    <w:rsid w:val="251A68C2"/>
    <w:rsid w:val="2658B607"/>
    <w:rsid w:val="267B6ECE"/>
    <w:rsid w:val="26B87AB0"/>
    <w:rsid w:val="2726AB28"/>
    <w:rsid w:val="279CF4FD"/>
    <w:rsid w:val="27C9315D"/>
    <w:rsid w:val="27DBB448"/>
    <w:rsid w:val="282590F4"/>
    <w:rsid w:val="294090AA"/>
    <w:rsid w:val="2A3501A0"/>
    <w:rsid w:val="2A43D3F3"/>
    <w:rsid w:val="2A60F20B"/>
    <w:rsid w:val="2AE27911"/>
    <w:rsid w:val="2B922835"/>
    <w:rsid w:val="2BD6151B"/>
    <w:rsid w:val="2BFA41D3"/>
    <w:rsid w:val="2C2729CF"/>
    <w:rsid w:val="2C2729CF"/>
    <w:rsid w:val="2C7167AD"/>
    <w:rsid w:val="2D1887E8"/>
    <w:rsid w:val="2DB28FFB"/>
    <w:rsid w:val="2E030ADB"/>
    <w:rsid w:val="3012BE19"/>
    <w:rsid w:val="307585E5"/>
    <w:rsid w:val="30D43343"/>
    <w:rsid w:val="311A1B64"/>
    <w:rsid w:val="311A1B64"/>
    <w:rsid w:val="32859FDD"/>
    <w:rsid w:val="32C6ABB3"/>
    <w:rsid w:val="33844531"/>
    <w:rsid w:val="33B61D8E"/>
    <w:rsid w:val="33B61D8E"/>
    <w:rsid w:val="33CB67A8"/>
    <w:rsid w:val="33CFB153"/>
    <w:rsid w:val="34178D3B"/>
    <w:rsid w:val="34E8DBC0"/>
    <w:rsid w:val="35DEBD5C"/>
    <w:rsid w:val="3621B273"/>
    <w:rsid w:val="3621B273"/>
    <w:rsid w:val="3627981A"/>
    <w:rsid w:val="36D036E4"/>
    <w:rsid w:val="37757ED2"/>
    <w:rsid w:val="385D6457"/>
    <w:rsid w:val="38E2565D"/>
    <w:rsid w:val="39E2E9BA"/>
    <w:rsid w:val="3A017C55"/>
    <w:rsid w:val="3A1711A1"/>
    <w:rsid w:val="3A7569D0"/>
    <w:rsid w:val="3A8AA78E"/>
    <w:rsid w:val="3A8AA78E"/>
    <w:rsid w:val="3A8DE02F"/>
    <w:rsid w:val="3AD0B40A"/>
    <w:rsid w:val="3B89DD20"/>
    <w:rsid w:val="3BDC361F"/>
    <w:rsid w:val="3BF9CC24"/>
    <w:rsid w:val="3C94B2AC"/>
    <w:rsid w:val="3C94B2AC"/>
    <w:rsid w:val="3CA48903"/>
    <w:rsid w:val="3D8AA291"/>
    <w:rsid w:val="3DBBEC15"/>
    <w:rsid w:val="3DBBEC15"/>
    <w:rsid w:val="3EA66F30"/>
    <w:rsid w:val="40AD2FCF"/>
    <w:rsid w:val="40C3BF03"/>
    <w:rsid w:val="40C8675B"/>
    <w:rsid w:val="41199035"/>
    <w:rsid w:val="41199035"/>
    <w:rsid w:val="43624FE3"/>
    <w:rsid w:val="44A530B8"/>
    <w:rsid w:val="44A530B8"/>
    <w:rsid w:val="45D394A3"/>
    <w:rsid w:val="45E33844"/>
    <w:rsid w:val="45E39455"/>
    <w:rsid w:val="46307A9B"/>
    <w:rsid w:val="46C035B7"/>
    <w:rsid w:val="46C035B7"/>
    <w:rsid w:val="4812EA2D"/>
    <w:rsid w:val="4812EA2D"/>
    <w:rsid w:val="488A0777"/>
    <w:rsid w:val="489A997F"/>
    <w:rsid w:val="48BBFC57"/>
    <w:rsid w:val="48F9FA06"/>
    <w:rsid w:val="4AF65610"/>
    <w:rsid w:val="4B07C754"/>
    <w:rsid w:val="4B162B69"/>
    <w:rsid w:val="4B29191D"/>
    <w:rsid w:val="4B29191D"/>
    <w:rsid w:val="4B313BF8"/>
    <w:rsid w:val="4BCCFB7D"/>
    <w:rsid w:val="4BCCFB7D"/>
    <w:rsid w:val="4E63D69C"/>
    <w:rsid w:val="4F14C521"/>
    <w:rsid w:val="5091F667"/>
    <w:rsid w:val="5091F667"/>
    <w:rsid w:val="5124E76A"/>
    <w:rsid w:val="512BF72B"/>
    <w:rsid w:val="51A8BB5D"/>
    <w:rsid w:val="5243521E"/>
    <w:rsid w:val="52E72BA1"/>
    <w:rsid w:val="52F84A90"/>
    <w:rsid w:val="5305BEEE"/>
    <w:rsid w:val="5382C5F1"/>
    <w:rsid w:val="53962EF9"/>
    <w:rsid w:val="53CEC1B3"/>
    <w:rsid w:val="547AA880"/>
    <w:rsid w:val="550CDDE3"/>
    <w:rsid w:val="557477E8"/>
    <w:rsid w:val="55EF19DE"/>
    <w:rsid w:val="56A32C91"/>
    <w:rsid w:val="571C0F0D"/>
    <w:rsid w:val="580EE986"/>
    <w:rsid w:val="583AFC26"/>
    <w:rsid w:val="58531D2D"/>
    <w:rsid w:val="587E9B1F"/>
    <w:rsid w:val="58E8C1F8"/>
    <w:rsid w:val="596FDBBD"/>
    <w:rsid w:val="59FF5BBE"/>
    <w:rsid w:val="5A15092A"/>
    <w:rsid w:val="5A330191"/>
    <w:rsid w:val="5AD836F0"/>
    <w:rsid w:val="5AF13ECF"/>
    <w:rsid w:val="5BE2080C"/>
    <w:rsid w:val="5CC4A5DD"/>
    <w:rsid w:val="5CC67993"/>
    <w:rsid w:val="5D687A60"/>
    <w:rsid w:val="60B5C498"/>
    <w:rsid w:val="61B0D7F7"/>
    <w:rsid w:val="61E7E043"/>
    <w:rsid w:val="620322BE"/>
    <w:rsid w:val="623EF3DF"/>
    <w:rsid w:val="623EF3DF"/>
    <w:rsid w:val="62AF1CD5"/>
    <w:rsid w:val="62AF1CD5"/>
    <w:rsid w:val="62D1A93E"/>
    <w:rsid w:val="632A07E3"/>
    <w:rsid w:val="633AA489"/>
    <w:rsid w:val="633AA489"/>
    <w:rsid w:val="63A4AC46"/>
    <w:rsid w:val="63B6A559"/>
    <w:rsid w:val="63C69DEA"/>
    <w:rsid w:val="63C69DEA"/>
    <w:rsid w:val="63FBCD8C"/>
    <w:rsid w:val="643A8008"/>
    <w:rsid w:val="645D6D1A"/>
    <w:rsid w:val="64ED74E0"/>
    <w:rsid w:val="65012A0A"/>
    <w:rsid w:val="65484122"/>
    <w:rsid w:val="657C2D9D"/>
    <w:rsid w:val="660E7380"/>
    <w:rsid w:val="66723EDF"/>
    <w:rsid w:val="66A7B4C2"/>
    <w:rsid w:val="66C77A0E"/>
    <w:rsid w:val="67BC9F7D"/>
    <w:rsid w:val="67BC9F7D"/>
    <w:rsid w:val="683AB0F7"/>
    <w:rsid w:val="687104AC"/>
    <w:rsid w:val="68D77879"/>
    <w:rsid w:val="6A3A5680"/>
    <w:rsid w:val="6A5F403A"/>
    <w:rsid w:val="6C0C1A32"/>
    <w:rsid w:val="6C8D4546"/>
    <w:rsid w:val="6D110B2D"/>
    <w:rsid w:val="6D5B1C2C"/>
    <w:rsid w:val="701175C2"/>
    <w:rsid w:val="70D4573A"/>
    <w:rsid w:val="7143307D"/>
    <w:rsid w:val="71AAB983"/>
    <w:rsid w:val="720FFED6"/>
    <w:rsid w:val="724E5259"/>
    <w:rsid w:val="724E5259"/>
    <w:rsid w:val="7288125D"/>
    <w:rsid w:val="7291EEAF"/>
    <w:rsid w:val="730C1E67"/>
    <w:rsid w:val="7386AEF1"/>
    <w:rsid w:val="739FA1F4"/>
    <w:rsid w:val="73C7FBFF"/>
    <w:rsid w:val="73C7FBFF"/>
    <w:rsid w:val="752A9956"/>
    <w:rsid w:val="75A6CA36"/>
    <w:rsid w:val="75D00BBB"/>
    <w:rsid w:val="762D4065"/>
    <w:rsid w:val="76CA527D"/>
    <w:rsid w:val="76CC8308"/>
    <w:rsid w:val="77A3CEDA"/>
    <w:rsid w:val="77A3CEDA"/>
    <w:rsid w:val="785BD8C6"/>
    <w:rsid w:val="78D88416"/>
    <w:rsid w:val="7A5B2F47"/>
    <w:rsid w:val="7A902F54"/>
    <w:rsid w:val="7A902F54"/>
    <w:rsid w:val="7AD33CC0"/>
    <w:rsid w:val="7AF410C7"/>
    <w:rsid w:val="7B64FF47"/>
    <w:rsid w:val="7B8D6FBB"/>
    <w:rsid w:val="7C20DB3D"/>
    <w:rsid w:val="7C8B5F7D"/>
    <w:rsid w:val="7D5A8656"/>
    <w:rsid w:val="7D5E22B3"/>
    <w:rsid w:val="7D81CD01"/>
    <w:rsid w:val="7DE8DFDB"/>
    <w:rsid w:val="7E02E7CB"/>
    <w:rsid w:val="7E6B6878"/>
    <w:rsid w:val="7F42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120C"/>
  <w15:chartTrackingRefBased/>
  <w15:docId w15:val="{FEE174E0-0FE9-460F-B30E-7AB8CEAA80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D687A6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21db5b9c335436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2025-07-15T05:14:39.2995621Z</dcterms:created>
  <dcterms:modified xsi:type="dcterms:W3CDTF">2025-08-11T13:00:10.4513062Z</dcterms:modified>
  <dc:creator>Claire Boles</dc:creator>
  <lastModifiedBy>Claire Boles</lastModifiedBy>
</coreProperties>
</file>