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E760" w14:textId="77777777" w:rsidR="00330AAB" w:rsidRDefault="00000000">
      <w:pPr>
        <w:jc w:val="center"/>
        <w:rPr>
          <w:rFonts w:hint="eastAsia"/>
        </w:rPr>
      </w:pPr>
      <w:r>
        <w:rPr>
          <w:rFonts w:ascii="Arial" w:hAnsi="Arial" w:cs="Arial"/>
          <w:b/>
          <w:sz w:val="40"/>
          <w:szCs w:val="40"/>
        </w:rPr>
        <w:t>WILLASTON MEMORIAL HALL</w:t>
      </w:r>
    </w:p>
    <w:p w14:paraId="7CD71A26" w14:textId="77777777" w:rsidR="00330AAB" w:rsidRDefault="00330AAB">
      <w:pPr>
        <w:jc w:val="both"/>
        <w:rPr>
          <w:rFonts w:ascii="Arial" w:hAnsi="Arial" w:cs="Arial"/>
          <w:sz w:val="28"/>
          <w:szCs w:val="28"/>
        </w:rPr>
      </w:pPr>
    </w:p>
    <w:p w14:paraId="6313208F" w14:textId="77777777" w:rsidR="00330AAB" w:rsidRDefault="00000000">
      <w:pPr>
        <w:jc w:val="center"/>
        <w:rPr>
          <w:rFonts w:hint="eastAsia"/>
        </w:rPr>
      </w:pPr>
      <w:r>
        <w:rPr>
          <w:rFonts w:ascii="Arial" w:hAnsi="Arial" w:cs="Arial"/>
          <w:sz w:val="28"/>
          <w:szCs w:val="28"/>
        </w:rPr>
        <w:t>REGISTERED CHARITY NUMBER 520090</w:t>
      </w:r>
    </w:p>
    <w:p w14:paraId="6FD4F86B" w14:textId="77777777" w:rsidR="00330AAB" w:rsidRDefault="00330AAB">
      <w:pPr>
        <w:jc w:val="both"/>
        <w:rPr>
          <w:rFonts w:ascii="Arial" w:hAnsi="Arial" w:cs="Arial"/>
          <w:sz w:val="28"/>
          <w:szCs w:val="28"/>
        </w:rPr>
      </w:pPr>
    </w:p>
    <w:p w14:paraId="584B2558" w14:textId="77777777" w:rsidR="00330AAB" w:rsidRDefault="00330AAB">
      <w:pPr>
        <w:jc w:val="both"/>
        <w:rPr>
          <w:rFonts w:ascii="Arial" w:hAnsi="Arial" w:cs="Arial"/>
          <w:sz w:val="28"/>
          <w:szCs w:val="28"/>
        </w:rPr>
      </w:pPr>
    </w:p>
    <w:p w14:paraId="55E48034" w14:textId="77777777" w:rsidR="00330AAB" w:rsidRDefault="00330AAB">
      <w:pPr>
        <w:jc w:val="both"/>
        <w:rPr>
          <w:rFonts w:ascii="Arial" w:hAnsi="Arial" w:cs="Arial"/>
          <w:sz w:val="28"/>
          <w:szCs w:val="28"/>
        </w:rPr>
      </w:pPr>
    </w:p>
    <w:p w14:paraId="3A171F8F" w14:textId="77777777" w:rsidR="00330AAB" w:rsidRDefault="00330AAB">
      <w:pPr>
        <w:jc w:val="both"/>
        <w:rPr>
          <w:rFonts w:ascii="Arial" w:hAnsi="Arial" w:cs="Arial"/>
          <w:sz w:val="28"/>
          <w:szCs w:val="28"/>
        </w:rPr>
      </w:pPr>
    </w:p>
    <w:p w14:paraId="24229488" w14:textId="77777777" w:rsidR="00330AAB" w:rsidRDefault="00330AAB">
      <w:pPr>
        <w:jc w:val="both"/>
        <w:rPr>
          <w:rFonts w:ascii="Arial" w:hAnsi="Arial" w:cs="Arial"/>
          <w:sz w:val="28"/>
          <w:szCs w:val="28"/>
        </w:rPr>
      </w:pPr>
    </w:p>
    <w:p w14:paraId="5DA8E83E" w14:textId="77777777" w:rsidR="00330AAB" w:rsidRDefault="00330AAB">
      <w:pPr>
        <w:jc w:val="both"/>
        <w:rPr>
          <w:rFonts w:ascii="Arial" w:hAnsi="Arial" w:cs="Arial"/>
          <w:sz w:val="28"/>
          <w:szCs w:val="28"/>
        </w:rPr>
      </w:pPr>
    </w:p>
    <w:p w14:paraId="33E26D43" w14:textId="77777777" w:rsidR="00330AAB" w:rsidRDefault="00330AAB">
      <w:pPr>
        <w:jc w:val="both"/>
        <w:rPr>
          <w:rFonts w:ascii="Arial" w:hAnsi="Arial" w:cs="Arial"/>
          <w:sz w:val="28"/>
          <w:szCs w:val="28"/>
        </w:rPr>
      </w:pPr>
    </w:p>
    <w:p w14:paraId="10867BE9" w14:textId="77777777" w:rsidR="00330AAB" w:rsidRDefault="00330AAB">
      <w:pPr>
        <w:jc w:val="both"/>
        <w:rPr>
          <w:rFonts w:ascii="Arial" w:hAnsi="Arial" w:cs="Arial"/>
          <w:sz w:val="28"/>
          <w:szCs w:val="28"/>
        </w:rPr>
      </w:pPr>
    </w:p>
    <w:p w14:paraId="124C4196" w14:textId="77777777" w:rsidR="00330AAB" w:rsidRDefault="00000000">
      <w:pPr>
        <w:jc w:val="center"/>
        <w:rPr>
          <w:rFonts w:hint="eastAsia"/>
        </w:rPr>
      </w:pPr>
      <w:r>
        <w:rPr>
          <w:rFonts w:ascii="Arial" w:hAnsi="Arial" w:cs="Arial"/>
          <w:b/>
          <w:sz w:val="52"/>
          <w:szCs w:val="52"/>
        </w:rPr>
        <w:t>TRUSTEES’</w:t>
      </w:r>
    </w:p>
    <w:p w14:paraId="127CC3DA" w14:textId="77777777" w:rsidR="00330AAB" w:rsidRDefault="00000000">
      <w:pPr>
        <w:jc w:val="center"/>
        <w:rPr>
          <w:rFonts w:hint="eastAsia"/>
        </w:rPr>
      </w:pPr>
      <w:r>
        <w:rPr>
          <w:rFonts w:ascii="Arial" w:hAnsi="Arial" w:cs="Arial"/>
          <w:b/>
          <w:sz w:val="52"/>
          <w:szCs w:val="52"/>
        </w:rPr>
        <w:t>CONFLICTS OF INTEREST POLICY</w:t>
      </w:r>
    </w:p>
    <w:p w14:paraId="57724A0D" w14:textId="77777777" w:rsidR="00330AAB" w:rsidRDefault="00330AAB">
      <w:pPr>
        <w:jc w:val="both"/>
        <w:rPr>
          <w:rFonts w:ascii="Arial" w:hAnsi="Arial" w:cs="Arial"/>
          <w:sz w:val="28"/>
          <w:szCs w:val="28"/>
        </w:rPr>
      </w:pPr>
    </w:p>
    <w:p w14:paraId="568FB5FB" w14:textId="77777777" w:rsidR="00330AAB" w:rsidRDefault="00330AAB">
      <w:pPr>
        <w:jc w:val="both"/>
        <w:rPr>
          <w:rFonts w:ascii="Arial" w:hAnsi="Arial" w:cs="Arial"/>
          <w:sz w:val="28"/>
          <w:szCs w:val="28"/>
        </w:rPr>
      </w:pPr>
    </w:p>
    <w:p w14:paraId="62452F2E" w14:textId="77777777" w:rsidR="00330AAB" w:rsidRDefault="00330AAB">
      <w:pPr>
        <w:jc w:val="both"/>
        <w:rPr>
          <w:rFonts w:ascii="Arial" w:hAnsi="Arial" w:cs="Arial"/>
          <w:sz w:val="28"/>
          <w:szCs w:val="28"/>
        </w:rPr>
      </w:pPr>
    </w:p>
    <w:p w14:paraId="132FDF1D" w14:textId="77777777" w:rsidR="00330AAB" w:rsidRDefault="00330AAB">
      <w:pPr>
        <w:jc w:val="both"/>
        <w:rPr>
          <w:rFonts w:ascii="Arial" w:hAnsi="Arial" w:cs="Arial"/>
          <w:sz w:val="28"/>
          <w:szCs w:val="28"/>
        </w:rPr>
      </w:pPr>
    </w:p>
    <w:p w14:paraId="2E8F287D" w14:textId="77777777" w:rsidR="00330AAB" w:rsidRDefault="00330AAB">
      <w:pPr>
        <w:jc w:val="both"/>
        <w:rPr>
          <w:rFonts w:ascii="Arial" w:hAnsi="Arial" w:cs="Arial"/>
          <w:sz w:val="28"/>
          <w:szCs w:val="28"/>
        </w:rPr>
      </w:pPr>
    </w:p>
    <w:p w14:paraId="45110BCA" w14:textId="77777777" w:rsidR="00330AAB" w:rsidRDefault="00330AAB">
      <w:pPr>
        <w:jc w:val="both"/>
        <w:rPr>
          <w:rFonts w:ascii="Arial" w:hAnsi="Arial" w:cs="Arial"/>
          <w:sz w:val="28"/>
          <w:szCs w:val="28"/>
        </w:rPr>
      </w:pPr>
    </w:p>
    <w:p w14:paraId="39FE300E" w14:textId="77777777" w:rsidR="00330AAB" w:rsidRDefault="00330AAB">
      <w:pPr>
        <w:jc w:val="both"/>
        <w:rPr>
          <w:rFonts w:ascii="Arial" w:hAnsi="Arial" w:cs="Arial"/>
          <w:sz w:val="28"/>
          <w:szCs w:val="28"/>
        </w:rPr>
      </w:pPr>
    </w:p>
    <w:p w14:paraId="67866399" w14:textId="77777777" w:rsidR="00330AAB" w:rsidRDefault="00330AAB">
      <w:pPr>
        <w:jc w:val="both"/>
        <w:rPr>
          <w:rFonts w:ascii="Arial" w:hAnsi="Arial" w:cs="Arial"/>
          <w:sz w:val="28"/>
          <w:szCs w:val="28"/>
        </w:rPr>
      </w:pPr>
    </w:p>
    <w:p w14:paraId="29A7CE9B" w14:textId="77777777" w:rsidR="00330AAB" w:rsidRDefault="00330AAB">
      <w:pPr>
        <w:jc w:val="both"/>
        <w:rPr>
          <w:rFonts w:ascii="Arial" w:hAnsi="Arial" w:cs="Arial"/>
          <w:sz w:val="28"/>
          <w:szCs w:val="28"/>
        </w:rPr>
      </w:pPr>
    </w:p>
    <w:p w14:paraId="25ADEAF9" w14:textId="77777777" w:rsidR="00330AAB" w:rsidRDefault="00330AAB">
      <w:pPr>
        <w:jc w:val="both"/>
        <w:rPr>
          <w:rFonts w:ascii="Arial" w:hAnsi="Arial" w:cs="Arial"/>
          <w:sz w:val="28"/>
          <w:szCs w:val="28"/>
        </w:rPr>
      </w:pPr>
    </w:p>
    <w:p w14:paraId="1C1C240E" w14:textId="77777777" w:rsidR="00330AAB" w:rsidRDefault="00330AAB">
      <w:pPr>
        <w:jc w:val="both"/>
        <w:rPr>
          <w:rFonts w:ascii="Arial" w:hAnsi="Arial" w:cs="Arial"/>
          <w:sz w:val="28"/>
          <w:szCs w:val="28"/>
        </w:rPr>
      </w:pPr>
    </w:p>
    <w:p w14:paraId="7E9FFF81" w14:textId="77777777" w:rsidR="00330AAB" w:rsidRDefault="00330AAB">
      <w:pPr>
        <w:jc w:val="both"/>
        <w:rPr>
          <w:rFonts w:ascii="Arial" w:hAnsi="Arial" w:cs="Arial"/>
          <w:sz w:val="28"/>
          <w:szCs w:val="28"/>
        </w:rPr>
      </w:pPr>
    </w:p>
    <w:p w14:paraId="5B19F092" w14:textId="77777777" w:rsidR="00330AAB" w:rsidRDefault="00330AAB">
      <w:pPr>
        <w:jc w:val="both"/>
        <w:rPr>
          <w:rFonts w:ascii="Arial" w:hAnsi="Arial" w:cs="Arial"/>
          <w:sz w:val="28"/>
          <w:szCs w:val="28"/>
        </w:rPr>
      </w:pPr>
    </w:p>
    <w:p w14:paraId="0D2F02DC" w14:textId="77777777" w:rsidR="00330AAB" w:rsidRDefault="00330AAB">
      <w:pPr>
        <w:jc w:val="both"/>
        <w:rPr>
          <w:rFonts w:ascii="Arial" w:hAnsi="Arial" w:cs="Arial"/>
          <w:sz w:val="28"/>
          <w:szCs w:val="28"/>
        </w:rPr>
      </w:pPr>
    </w:p>
    <w:p w14:paraId="5F8D6206" w14:textId="77777777" w:rsidR="00330AAB" w:rsidRDefault="00330AAB">
      <w:pPr>
        <w:jc w:val="both"/>
        <w:rPr>
          <w:rFonts w:ascii="Arial" w:hAnsi="Arial" w:cs="Arial"/>
          <w:sz w:val="28"/>
          <w:szCs w:val="28"/>
        </w:rPr>
      </w:pPr>
    </w:p>
    <w:p w14:paraId="4DF6718C" w14:textId="77777777" w:rsidR="00330AAB" w:rsidRDefault="00330AAB">
      <w:pPr>
        <w:jc w:val="both"/>
        <w:rPr>
          <w:rFonts w:ascii="Arial" w:hAnsi="Arial" w:cs="Arial"/>
          <w:sz w:val="28"/>
          <w:szCs w:val="28"/>
        </w:rPr>
      </w:pPr>
    </w:p>
    <w:p w14:paraId="026EDAE2" w14:textId="77777777" w:rsidR="00330AAB" w:rsidRDefault="00330AAB">
      <w:pPr>
        <w:jc w:val="both"/>
        <w:rPr>
          <w:rFonts w:ascii="Arial" w:hAnsi="Arial" w:cs="Arial"/>
          <w:sz w:val="28"/>
          <w:szCs w:val="28"/>
        </w:rPr>
      </w:pPr>
    </w:p>
    <w:p w14:paraId="71CFCD77" w14:textId="77777777" w:rsidR="00330AAB" w:rsidRDefault="00330AAB">
      <w:pPr>
        <w:jc w:val="both"/>
        <w:rPr>
          <w:rFonts w:ascii="Arial" w:hAnsi="Arial" w:cs="Arial"/>
          <w:sz w:val="28"/>
          <w:szCs w:val="28"/>
        </w:rPr>
      </w:pPr>
    </w:p>
    <w:p w14:paraId="4C0A455E" w14:textId="77777777" w:rsidR="00330AAB" w:rsidRDefault="00330AAB">
      <w:pPr>
        <w:jc w:val="both"/>
        <w:rPr>
          <w:rFonts w:ascii="Arial" w:hAnsi="Arial" w:cs="Arial"/>
          <w:sz w:val="28"/>
          <w:szCs w:val="28"/>
        </w:rPr>
      </w:pPr>
    </w:p>
    <w:p w14:paraId="411410B9" w14:textId="77777777" w:rsidR="00330AAB" w:rsidRDefault="00330AAB">
      <w:pPr>
        <w:jc w:val="right"/>
        <w:rPr>
          <w:rFonts w:ascii="Arial" w:hAnsi="Arial" w:cs="Arial"/>
          <w:sz w:val="28"/>
          <w:szCs w:val="28"/>
        </w:rPr>
      </w:pPr>
    </w:p>
    <w:p w14:paraId="39D2606D" w14:textId="42278584" w:rsidR="00330AAB" w:rsidRDefault="00000000">
      <w:pPr>
        <w:jc w:val="right"/>
        <w:rPr>
          <w:rFonts w:hint="eastAsia"/>
        </w:rPr>
      </w:pPr>
      <w:r>
        <w:rPr>
          <w:rFonts w:ascii="Arial" w:hAnsi="Arial" w:cs="Arial"/>
          <w:sz w:val="28"/>
          <w:szCs w:val="28"/>
        </w:rPr>
        <w:t>July 2025</w:t>
      </w:r>
      <w:r>
        <w:br w:type="page"/>
      </w:r>
    </w:p>
    <w:p w14:paraId="56C9F98E" w14:textId="77777777" w:rsidR="00330AAB" w:rsidRDefault="00000000">
      <w:pPr>
        <w:jc w:val="both"/>
        <w:rPr>
          <w:rFonts w:hint="eastAsia"/>
          <w:b/>
          <w:bCs/>
        </w:rPr>
      </w:pPr>
      <w:r>
        <w:rPr>
          <w:rFonts w:ascii="Arial" w:hAnsi="Arial" w:cs="Arial"/>
          <w:b/>
          <w:bCs/>
        </w:rPr>
        <w:lastRenderedPageBreak/>
        <w:t>Introduction</w:t>
      </w:r>
    </w:p>
    <w:p w14:paraId="1D77B320" w14:textId="77777777" w:rsidR="00330AAB" w:rsidRDefault="00330AAB">
      <w:pPr>
        <w:jc w:val="both"/>
        <w:rPr>
          <w:rFonts w:ascii="Arial" w:hAnsi="Arial" w:cs="Arial"/>
        </w:rPr>
      </w:pPr>
    </w:p>
    <w:p w14:paraId="141F93BE" w14:textId="77777777" w:rsidR="00330AAB" w:rsidRDefault="00000000">
      <w:pPr>
        <w:jc w:val="both"/>
        <w:rPr>
          <w:rFonts w:hint="eastAsia"/>
        </w:rPr>
      </w:pPr>
      <w:r>
        <w:rPr>
          <w:rFonts w:ascii="Arial" w:hAnsi="Arial" w:cs="Arial"/>
        </w:rPr>
        <w:t xml:space="preserve">The Trustees of </w:t>
      </w:r>
      <w:proofErr w:type="spellStart"/>
      <w:r>
        <w:rPr>
          <w:rFonts w:ascii="Arial" w:hAnsi="Arial" w:cs="Arial"/>
        </w:rPr>
        <w:t>Willaston</w:t>
      </w:r>
      <w:proofErr w:type="spellEnd"/>
      <w:r>
        <w:rPr>
          <w:rFonts w:ascii="Arial" w:hAnsi="Arial" w:cs="Arial"/>
        </w:rPr>
        <w:t xml:space="preserve"> Memorial Hall (WMH), even when they have been nominated by another organisation or body, have an obligation to act in the best interests of WMH and in accordance with the Trust Deed governing the WMH charity.</w:t>
      </w:r>
    </w:p>
    <w:p w14:paraId="1A738D95" w14:textId="77777777" w:rsidR="00330AAB" w:rsidRDefault="00330AAB">
      <w:pPr>
        <w:jc w:val="both"/>
        <w:rPr>
          <w:rFonts w:ascii="Arial" w:hAnsi="Arial" w:cs="Arial"/>
        </w:rPr>
      </w:pPr>
    </w:p>
    <w:p w14:paraId="5E0B5163" w14:textId="77777777" w:rsidR="00330AAB" w:rsidRDefault="00000000">
      <w:pPr>
        <w:jc w:val="both"/>
        <w:rPr>
          <w:rFonts w:hint="eastAsia"/>
        </w:rPr>
      </w:pPr>
      <w:r>
        <w:rPr>
          <w:rFonts w:ascii="Arial" w:hAnsi="Arial" w:cs="Arial"/>
        </w:rPr>
        <w:t xml:space="preserve">Conflicts of interest may arise where a Trustee’s personal or family interests and/or loyalties conflict with those of WMH, e.g. </w:t>
      </w:r>
    </w:p>
    <w:p w14:paraId="733E2F02" w14:textId="77777777" w:rsidR="00330AAB" w:rsidRDefault="00330AAB">
      <w:pPr>
        <w:jc w:val="both"/>
        <w:rPr>
          <w:rFonts w:ascii="Arial" w:hAnsi="Arial" w:cs="Arial"/>
        </w:rPr>
      </w:pPr>
    </w:p>
    <w:p w14:paraId="339E5D15" w14:textId="77777777" w:rsidR="00330AAB" w:rsidRDefault="00000000">
      <w:pPr>
        <w:numPr>
          <w:ilvl w:val="0"/>
          <w:numId w:val="2"/>
        </w:numPr>
        <w:jc w:val="both"/>
        <w:rPr>
          <w:rFonts w:hint="eastAsia"/>
        </w:rPr>
      </w:pPr>
      <w:r>
        <w:rPr>
          <w:rFonts w:ascii="Arial" w:hAnsi="Arial" w:cs="Arial"/>
        </w:rPr>
        <w:t>where there is a potential financial or measurable benefit directly to a Trustee, or indirectly through connected person, in relation to the WMH; or</w:t>
      </w:r>
    </w:p>
    <w:p w14:paraId="5D65C41F" w14:textId="77777777" w:rsidR="00330AAB" w:rsidRDefault="00000000">
      <w:pPr>
        <w:numPr>
          <w:ilvl w:val="0"/>
          <w:numId w:val="2"/>
        </w:numPr>
        <w:jc w:val="both"/>
        <w:rPr>
          <w:rFonts w:hint="eastAsia"/>
        </w:rPr>
      </w:pPr>
      <w:r>
        <w:rPr>
          <w:rFonts w:ascii="Arial" w:hAnsi="Arial" w:cs="Arial"/>
        </w:rPr>
        <w:t>where a Trustee’s duty to WMH may compete with a duty or loyalty they owe to another organisation or purpose.</w:t>
      </w:r>
    </w:p>
    <w:p w14:paraId="2421BCC5" w14:textId="77777777" w:rsidR="00330AAB" w:rsidRDefault="00330AAB">
      <w:pPr>
        <w:jc w:val="both"/>
        <w:rPr>
          <w:rFonts w:ascii="Arial" w:hAnsi="Arial" w:cs="Arial"/>
        </w:rPr>
      </w:pPr>
    </w:p>
    <w:p w14:paraId="3D538D6F" w14:textId="77777777" w:rsidR="00330AAB" w:rsidRDefault="00000000">
      <w:pPr>
        <w:jc w:val="both"/>
        <w:rPr>
          <w:rFonts w:hint="eastAsia"/>
          <w:b/>
          <w:bCs/>
        </w:rPr>
      </w:pPr>
      <w:r>
        <w:rPr>
          <w:rFonts w:ascii="Arial" w:hAnsi="Arial" w:cs="Arial"/>
        </w:rPr>
        <w:t>Such conflicts may create problems; they may:</w:t>
      </w:r>
    </w:p>
    <w:p w14:paraId="4965BA2F" w14:textId="77777777" w:rsidR="00330AAB" w:rsidRDefault="00330AAB">
      <w:pPr>
        <w:jc w:val="both"/>
        <w:rPr>
          <w:rFonts w:ascii="Arial" w:hAnsi="Arial" w:cs="Arial"/>
        </w:rPr>
      </w:pPr>
    </w:p>
    <w:p w14:paraId="5EA47543" w14:textId="77777777" w:rsidR="00330AAB" w:rsidRDefault="00000000">
      <w:pPr>
        <w:numPr>
          <w:ilvl w:val="0"/>
          <w:numId w:val="1"/>
        </w:numPr>
        <w:jc w:val="both"/>
        <w:rPr>
          <w:rFonts w:hint="eastAsia"/>
          <w:b/>
          <w:bCs/>
        </w:rPr>
      </w:pPr>
      <w:r>
        <w:rPr>
          <w:rFonts w:ascii="Arial" w:hAnsi="Arial" w:cs="Arial"/>
        </w:rPr>
        <w:t>inhibit free discussion;</w:t>
      </w:r>
    </w:p>
    <w:p w14:paraId="66338386" w14:textId="77777777" w:rsidR="00330AAB" w:rsidRDefault="00000000">
      <w:pPr>
        <w:numPr>
          <w:ilvl w:val="0"/>
          <w:numId w:val="1"/>
        </w:numPr>
        <w:jc w:val="both"/>
        <w:rPr>
          <w:rFonts w:hint="eastAsia"/>
          <w:b/>
          <w:bCs/>
        </w:rPr>
      </w:pPr>
      <w:r>
        <w:rPr>
          <w:rFonts w:ascii="Arial" w:hAnsi="Arial" w:cs="Arial"/>
        </w:rPr>
        <w:t>result in decisions or actions that are not in the best interests of WMH; and</w:t>
      </w:r>
    </w:p>
    <w:p w14:paraId="61499301" w14:textId="77777777" w:rsidR="00330AAB" w:rsidRDefault="00000000">
      <w:pPr>
        <w:numPr>
          <w:ilvl w:val="0"/>
          <w:numId w:val="1"/>
        </w:numPr>
        <w:jc w:val="both"/>
        <w:rPr>
          <w:rFonts w:hint="eastAsia"/>
        </w:rPr>
      </w:pPr>
      <w:r>
        <w:rPr>
          <w:rFonts w:ascii="Arial" w:hAnsi="Arial" w:cs="Arial"/>
        </w:rPr>
        <w:t>risk giving the impression that the WMH’s Trustees have acted improperly.</w:t>
      </w:r>
    </w:p>
    <w:p w14:paraId="5E9979B5" w14:textId="77777777" w:rsidR="00330AAB" w:rsidRDefault="00330AAB">
      <w:pPr>
        <w:jc w:val="both"/>
        <w:rPr>
          <w:rFonts w:ascii="Arial" w:hAnsi="Arial" w:cs="Arial"/>
        </w:rPr>
      </w:pPr>
    </w:p>
    <w:p w14:paraId="40DF079F" w14:textId="77777777" w:rsidR="00330AAB" w:rsidRDefault="00000000">
      <w:pPr>
        <w:jc w:val="both"/>
        <w:rPr>
          <w:rFonts w:hint="eastAsia"/>
        </w:rPr>
      </w:pPr>
      <w:r>
        <w:rPr>
          <w:rFonts w:ascii="Arial" w:hAnsi="Arial" w:cs="Arial"/>
        </w:rPr>
        <w:t>The aim of this policy is both to protect the interests of WMH and to protect its Trustees from any appearance of impropriety.</w:t>
      </w:r>
    </w:p>
    <w:p w14:paraId="473423B2" w14:textId="77777777" w:rsidR="00330AAB" w:rsidRDefault="00330AAB">
      <w:pPr>
        <w:jc w:val="both"/>
        <w:rPr>
          <w:rFonts w:ascii="Arial" w:hAnsi="Arial" w:cs="Arial"/>
        </w:rPr>
      </w:pPr>
    </w:p>
    <w:p w14:paraId="364A41B3" w14:textId="77777777" w:rsidR="00330AAB" w:rsidRDefault="00000000">
      <w:pPr>
        <w:jc w:val="both"/>
        <w:rPr>
          <w:rFonts w:hint="eastAsia"/>
          <w:b/>
          <w:bCs/>
        </w:rPr>
      </w:pPr>
      <w:r>
        <w:rPr>
          <w:rFonts w:ascii="Arial" w:hAnsi="Arial" w:cs="Arial"/>
          <w:b/>
          <w:bCs/>
        </w:rPr>
        <w:t>Declaration of interests</w:t>
      </w:r>
    </w:p>
    <w:p w14:paraId="59C7484B" w14:textId="77777777" w:rsidR="00330AAB" w:rsidRDefault="00330AAB">
      <w:pPr>
        <w:jc w:val="both"/>
        <w:rPr>
          <w:rFonts w:ascii="Arial" w:hAnsi="Arial" w:cs="Arial"/>
        </w:rPr>
      </w:pPr>
    </w:p>
    <w:p w14:paraId="4D2D3E09" w14:textId="77777777" w:rsidR="00330AAB" w:rsidRDefault="00000000">
      <w:pPr>
        <w:jc w:val="both"/>
        <w:rPr>
          <w:rFonts w:hint="eastAsia"/>
          <w:b/>
          <w:bCs/>
        </w:rPr>
      </w:pPr>
      <w:r>
        <w:rPr>
          <w:rFonts w:ascii="Arial" w:hAnsi="Arial" w:cs="Arial"/>
        </w:rPr>
        <w:t xml:space="preserve">Trustees of WMH are required to declare their interests on the declaration of </w:t>
      </w:r>
      <w:proofErr w:type="gramStart"/>
      <w:r>
        <w:rPr>
          <w:rFonts w:ascii="Arial" w:hAnsi="Arial" w:cs="Arial"/>
        </w:rPr>
        <w:t>interests</w:t>
      </w:r>
      <w:proofErr w:type="gramEnd"/>
      <w:r>
        <w:rPr>
          <w:rFonts w:ascii="Arial" w:hAnsi="Arial" w:cs="Arial"/>
        </w:rPr>
        <w:t xml:space="preserve"> form provided for this purpose and to update this form annually, or when any changes occur.</w:t>
      </w:r>
    </w:p>
    <w:p w14:paraId="5BB1C279" w14:textId="77777777" w:rsidR="00330AAB" w:rsidRDefault="00330AAB">
      <w:pPr>
        <w:jc w:val="both"/>
        <w:rPr>
          <w:rFonts w:ascii="Arial" w:hAnsi="Arial" w:cs="Arial"/>
        </w:rPr>
      </w:pPr>
    </w:p>
    <w:p w14:paraId="4D7E88AD" w14:textId="77777777" w:rsidR="00330AAB" w:rsidRDefault="00000000">
      <w:pPr>
        <w:jc w:val="both"/>
        <w:rPr>
          <w:rFonts w:hint="eastAsia"/>
        </w:rPr>
      </w:pPr>
      <w:r>
        <w:rPr>
          <w:rFonts w:ascii="Arial" w:hAnsi="Arial" w:cs="Arial"/>
        </w:rPr>
        <w:t>If a Trustee is unsure what to declare, they can discuss the matter, on a confidential basis, with the Chair of the Trustees.</w:t>
      </w:r>
    </w:p>
    <w:p w14:paraId="0A4E4432" w14:textId="77777777" w:rsidR="00330AAB" w:rsidRDefault="00330AAB">
      <w:pPr>
        <w:jc w:val="both"/>
        <w:rPr>
          <w:rFonts w:ascii="Arial" w:hAnsi="Arial" w:cs="Arial"/>
        </w:rPr>
      </w:pPr>
    </w:p>
    <w:p w14:paraId="779AE27D" w14:textId="77777777" w:rsidR="00330AAB" w:rsidRDefault="00000000">
      <w:pPr>
        <w:jc w:val="both"/>
        <w:rPr>
          <w:rFonts w:hint="eastAsia"/>
        </w:rPr>
      </w:pPr>
      <w:r>
        <w:rPr>
          <w:rFonts w:ascii="Arial" w:hAnsi="Arial" w:cs="Arial"/>
        </w:rPr>
        <w:t xml:space="preserve">Completed declaration of interest forms will be included in the Trustees’ Register.  The information provided on the forms will be processed in accordance with the principles set out in the Data Protection Act 2018.  Data will be processed only to ensure that Trustees act in the best interests of WMH and not for any other purpose. Information contained in completed declaration of </w:t>
      </w:r>
      <w:proofErr w:type="gramStart"/>
      <w:r>
        <w:rPr>
          <w:rFonts w:ascii="Arial" w:hAnsi="Arial" w:cs="Arial"/>
        </w:rPr>
        <w:t>interests</w:t>
      </w:r>
      <w:proofErr w:type="gramEnd"/>
      <w:r>
        <w:rPr>
          <w:rFonts w:ascii="Arial" w:hAnsi="Arial" w:cs="Arial"/>
        </w:rPr>
        <w:t xml:space="preserve"> forms may be disclosed, on reasonable request, to members of the public.</w:t>
      </w:r>
    </w:p>
    <w:p w14:paraId="0BEFDBAF" w14:textId="77777777" w:rsidR="00330AAB" w:rsidRDefault="00330AAB">
      <w:pPr>
        <w:jc w:val="both"/>
        <w:rPr>
          <w:rFonts w:ascii="Arial" w:hAnsi="Arial" w:cs="Arial"/>
        </w:rPr>
      </w:pPr>
    </w:p>
    <w:p w14:paraId="0BCB8F3C" w14:textId="77777777" w:rsidR="00330AAB" w:rsidRDefault="00000000">
      <w:pPr>
        <w:jc w:val="both"/>
        <w:rPr>
          <w:rFonts w:hint="eastAsia"/>
          <w:b/>
          <w:bCs/>
        </w:rPr>
      </w:pPr>
      <w:r>
        <w:rPr>
          <w:rFonts w:ascii="Arial" w:hAnsi="Arial" w:cs="Arial"/>
          <w:b/>
          <w:bCs/>
        </w:rPr>
        <w:t>What to do when a conflict of interest arises</w:t>
      </w:r>
    </w:p>
    <w:p w14:paraId="1B42AF4A" w14:textId="77777777" w:rsidR="00330AAB" w:rsidRDefault="00330AAB">
      <w:pPr>
        <w:jc w:val="both"/>
        <w:rPr>
          <w:rFonts w:ascii="Arial" w:hAnsi="Arial" w:cs="Arial"/>
        </w:rPr>
      </w:pPr>
    </w:p>
    <w:p w14:paraId="684B7017" w14:textId="77777777" w:rsidR="00330AAB" w:rsidRDefault="00000000">
      <w:pPr>
        <w:jc w:val="both"/>
        <w:rPr>
          <w:rFonts w:hint="eastAsia"/>
        </w:rPr>
      </w:pPr>
      <w:r>
        <w:rPr>
          <w:rFonts w:ascii="Arial" w:hAnsi="Arial" w:cs="Arial"/>
        </w:rPr>
        <w:t xml:space="preserve">Should a Trustee become aware that the WMH Management Committee is to discuss and/or take a decision on matter in which the Trustee has a personal or family interest, the Trustee should declare this immediately, even if the interest has been declared on their declaration of </w:t>
      </w:r>
      <w:proofErr w:type="gramStart"/>
      <w:r>
        <w:rPr>
          <w:rFonts w:ascii="Arial" w:hAnsi="Arial" w:cs="Arial"/>
        </w:rPr>
        <w:t>interests</w:t>
      </w:r>
      <w:proofErr w:type="gramEnd"/>
      <w:r>
        <w:rPr>
          <w:rFonts w:ascii="Arial" w:hAnsi="Arial" w:cs="Arial"/>
        </w:rPr>
        <w:t xml:space="preserve"> form.  The Management Committee will decide whether to ask the Trustee to withdraw from the meeting for that item or whether they may remain and participate in the discussions, but not vote. Whenever an interest is declared, this will be recorded in the minutes and the action taken (e.g. excluding the trustee concerned from the discussion on the relevant item) will also be recorded.</w:t>
      </w:r>
    </w:p>
    <w:p w14:paraId="311803C3" w14:textId="77777777" w:rsidR="00330AAB" w:rsidRDefault="00330AAB">
      <w:pPr>
        <w:jc w:val="both"/>
        <w:rPr>
          <w:rFonts w:ascii="Arial" w:hAnsi="Arial" w:cs="Arial"/>
        </w:rPr>
      </w:pPr>
    </w:p>
    <w:p w14:paraId="01552EC7" w14:textId="77777777" w:rsidR="00330AAB" w:rsidRDefault="00000000">
      <w:pPr>
        <w:jc w:val="both"/>
        <w:rPr>
          <w:rFonts w:hint="eastAsia"/>
        </w:rPr>
      </w:pPr>
      <w:r>
        <w:rPr>
          <w:rFonts w:ascii="Arial" w:hAnsi="Arial" w:cs="Arial"/>
        </w:rPr>
        <w:t xml:space="preserve">A number of the WMH Trustees are nominated by organisations which use WMH on a regular basis.  Such Trustees should take care to ensure that they act in the best interests of WMH, and not their nominating organisation, when taking part in meetings of the WMH </w:t>
      </w:r>
      <w:r>
        <w:rPr>
          <w:rFonts w:ascii="Arial" w:hAnsi="Arial" w:cs="Arial"/>
        </w:rPr>
        <w:lastRenderedPageBreak/>
        <w:t>Management Committee or otherwise acting as a Trustee of WMH. There is no need for a Trustee nominated by a user organisation to declare an interest when discussing matters which are universal to all users, e.g. hire charges, but they should declare an interest if a matter under discussion may relate to a benefit to their nominating organisation in particular, e.g. a request for a special hire rate.</w:t>
      </w:r>
    </w:p>
    <w:p w14:paraId="3BF04117" w14:textId="77777777" w:rsidR="00330AAB" w:rsidRDefault="00330AAB">
      <w:pPr>
        <w:jc w:val="both"/>
        <w:rPr>
          <w:rFonts w:ascii="Arial" w:hAnsi="Arial" w:cs="Arial"/>
        </w:rPr>
      </w:pPr>
    </w:p>
    <w:p w14:paraId="0AFDDD10" w14:textId="77777777" w:rsidR="00330AAB" w:rsidRDefault="00000000">
      <w:pPr>
        <w:jc w:val="both"/>
        <w:rPr>
          <w:rFonts w:hint="eastAsia"/>
          <w:b/>
          <w:bCs/>
        </w:rPr>
      </w:pPr>
      <w:r>
        <w:rPr>
          <w:rFonts w:ascii="Arial" w:hAnsi="Arial" w:cs="Arial"/>
          <w:b/>
          <w:bCs/>
        </w:rPr>
        <w:t>Review</w:t>
      </w:r>
    </w:p>
    <w:p w14:paraId="48165540" w14:textId="77777777" w:rsidR="00330AAB" w:rsidRDefault="00330AAB">
      <w:pPr>
        <w:jc w:val="both"/>
        <w:rPr>
          <w:rFonts w:ascii="Arial" w:hAnsi="Arial" w:cs="Arial"/>
        </w:rPr>
      </w:pPr>
    </w:p>
    <w:p w14:paraId="1BD1590F" w14:textId="77777777" w:rsidR="00330AAB" w:rsidRDefault="00000000">
      <w:pPr>
        <w:jc w:val="both"/>
        <w:rPr>
          <w:rFonts w:hint="eastAsia"/>
        </w:rPr>
      </w:pPr>
      <w:r>
        <w:rPr>
          <w:rFonts w:ascii="Arial" w:hAnsi="Arial" w:cs="Arial"/>
        </w:rPr>
        <w:t>This Policy will be reviewed by the WMH Management Committee on an annual basis.</w:t>
      </w:r>
    </w:p>
    <w:sectPr w:rsidR="00330AAB">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712E8"/>
    <w:multiLevelType w:val="multilevel"/>
    <w:tmpl w:val="FCAA98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6BA52CB"/>
    <w:multiLevelType w:val="multilevel"/>
    <w:tmpl w:val="03C27B44"/>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AF06847"/>
    <w:multiLevelType w:val="multilevel"/>
    <w:tmpl w:val="747660A8"/>
    <w:lvl w:ilvl="0">
      <w:start w:val="1"/>
      <w:numFmt w:val="bullet"/>
      <w:lvlText w:val=""/>
      <w:lvlJc w:val="left"/>
      <w:pPr>
        <w:tabs>
          <w:tab w:val="num" w:pos="798"/>
        </w:tabs>
        <w:ind w:left="798" w:hanging="360"/>
      </w:pPr>
      <w:rPr>
        <w:rFonts w:ascii="Symbol" w:hAnsi="Symbol" w:cs="Symbol" w:hint="default"/>
        <w:b/>
        <w:sz w:val="24"/>
      </w:rPr>
    </w:lvl>
    <w:lvl w:ilvl="1">
      <w:start w:val="1"/>
      <w:numFmt w:val="bullet"/>
      <w:lvlText w:val="◦"/>
      <w:lvlJc w:val="left"/>
      <w:pPr>
        <w:tabs>
          <w:tab w:val="num" w:pos="1158"/>
        </w:tabs>
        <w:ind w:left="1158" w:hanging="360"/>
      </w:pPr>
      <w:rPr>
        <w:rFonts w:ascii="OpenSymbol" w:hAnsi="OpenSymbol" w:cs="OpenSymbol" w:hint="default"/>
      </w:rPr>
    </w:lvl>
    <w:lvl w:ilvl="2">
      <w:start w:val="1"/>
      <w:numFmt w:val="bullet"/>
      <w:lvlText w:val="▪"/>
      <w:lvlJc w:val="left"/>
      <w:pPr>
        <w:tabs>
          <w:tab w:val="num" w:pos="1518"/>
        </w:tabs>
        <w:ind w:left="1518" w:hanging="360"/>
      </w:pPr>
      <w:rPr>
        <w:rFonts w:ascii="OpenSymbol" w:hAnsi="OpenSymbol" w:cs="OpenSymbol" w:hint="default"/>
      </w:rPr>
    </w:lvl>
    <w:lvl w:ilvl="3">
      <w:start w:val="1"/>
      <w:numFmt w:val="bullet"/>
      <w:lvlText w:val=""/>
      <w:lvlJc w:val="left"/>
      <w:pPr>
        <w:tabs>
          <w:tab w:val="num" w:pos="1878"/>
        </w:tabs>
        <w:ind w:left="1878" w:hanging="360"/>
      </w:pPr>
      <w:rPr>
        <w:rFonts w:ascii="Symbol" w:hAnsi="Symbol" w:cs="Symbol" w:hint="default"/>
      </w:rPr>
    </w:lvl>
    <w:lvl w:ilvl="4">
      <w:start w:val="1"/>
      <w:numFmt w:val="bullet"/>
      <w:lvlText w:val="◦"/>
      <w:lvlJc w:val="left"/>
      <w:pPr>
        <w:tabs>
          <w:tab w:val="num" w:pos="2238"/>
        </w:tabs>
        <w:ind w:left="2238" w:hanging="360"/>
      </w:pPr>
      <w:rPr>
        <w:rFonts w:ascii="OpenSymbol" w:hAnsi="OpenSymbol" w:cs="OpenSymbol" w:hint="default"/>
      </w:rPr>
    </w:lvl>
    <w:lvl w:ilvl="5">
      <w:start w:val="1"/>
      <w:numFmt w:val="bullet"/>
      <w:lvlText w:val="▪"/>
      <w:lvlJc w:val="left"/>
      <w:pPr>
        <w:tabs>
          <w:tab w:val="num" w:pos="2598"/>
        </w:tabs>
        <w:ind w:left="2598" w:hanging="360"/>
      </w:pPr>
      <w:rPr>
        <w:rFonts w:ascii="OpenSymbol" w:hAnsi="OpenSymbol" w:cs="OpenSymbol" w:hint="default"/>
      </w:rPr>
    </w:lvl>
    <w:lvl w:ilvl="6">
      <w:start w:val="1"/>
      <w:numFmt w:val="bullet"/>
      <w:lvlText w:val=""/>
      <w:lvlJc w:val="left"/>
      <w:pPr>
        <w:tabs>
          <w:tab w:val="num" w:pos="2958"/>
        </w:tabs>
        <w:ind w:left="2958" w:hanging="360"/>
      </w:pPr>
      <w:rPr>
        <w:rFonts w:ascii="Symbol" w:hAnsi="Symbol" w:cs="Symbol" w:hint="default"/>
      </w:rPr>
    </w:lvl>
    <w:lvl w:ilvl="7">
      <w:start w:val="1"/>
      <w:numFmt w:val="bullet"/>
      <w:lvlText w:val="◦"/>
      <w:lvlJc w:val="left"/>
      <w:pPr>
        <w:tabs>
          <w:tab w:val="num" w:pos="3318"/>
        </w:tabs>
        <w:ind w:left="3318" w:hanging="360"/>
      </w:pPr>
      <w:rPr>
        <w:rFonts w:ascii="OpenSymbol" w:hAnsi="OpenSymbol" w:cs="OpenSymbol" w:hint="default"/>
      </w:rPr>
    </w:lvl>
    <w:lvl w:ilvl="8">
      <w:start w:val="1"/>
      <w:numFmt w:val="bullet"/>
      <w:lvlText w:val="▪"/>
      <w:lvlJc w:val="left"/>
      <w:pPr>
        <w:tabs>
          <w:tab w:val="num" w:pos="3678"/>
        </w:tabs>
        <w:ind w:left="3678" w:hanging="360"/>
      </w:pPr>
      <w:rPr>
        <w:rFonts w:ascii="OpenSymbol" w:hAnsi="OpenSymbol" w:cs="OpenSymbol" w:hint="default"/>
      </w:rPr>
    </w:lvl>
  </w:abstractNum>
  <w:num w:numId="1" w16cid:durableId="67190759">
    <w:abstractNumId w:val="2"/>
  </w:num>
  <w:num w:numId="2" w16cid:durableId="1454134544">
    <w:abstractNumId w:val="1"/>
  </w:num>
  <w:num w:numId="3" w16cid:durableId="188737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B"/>
    <w:rsid w:val="00330AAB"/>
    <w:rsid w:val="008904FC"/>
    <w:rsid w:val="00A013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5194"/>
  <w15:docId w15:val="{31029127-10BC-4162-8971-931F8A0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neNumbering">
    <w:name w:val="Line Numbering"/>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Revision">
    <w:name w:val="Revision"/>
    <w:hidden/>
    <w:uiPriority w:val="99"/>
    <w:semiHidden/>
    <w:rsid w:val="008904FC"/>
    <w:pPr>
      <w:suppressAutoHyphens w:val="0"/>
    </w:pPr>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dc:description/>
  <cp:lastModifiedBy>Catherine Jones</cp:lastModifiedBy>
  <cp:revision>2</cp:revision>
  <cp:lastPrinted>2022-01-02T14:07:00Z</cp:lastPrinted>
  <dcterms:created xsi:type="dcterms:W3CDTF">2025-09-17T11:08:00Z</dcterms:created>
  <dcterms:modified xsi:type="dcterms:W3CDTF">2025-09-17T11:08:00Z</dcterms:modified>
  <dc:language>en-GB</dc:language>
</cp:coreProperties>
</file>