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F5789" w14:textId="00E07B8E" w:rsidR="00FB11CB" w:rsidRPr="00FB11CB" w:rsidRDefault="00FB11CB" w:rsidP="00FB11CB">
      <w:pPr>
        <w:spacing w:after="0" w:line="240" w:lineRule="auto"/>
        <w:jc w:val="center"/>
        <w:rPr>
          <w:rFonts w:ascii="Century Gothic" w:hAnsi="Century Gothic" w:cs="Arial"/>
          <w:b/>
          <w:color w:val="525252" w:themeColor="accent3" w:themeShade="80"/>
          <w:sz w:val="24"/>
          <w:szCs w:val="24"/>
          <w:u w:val="single"/>
        </w:rPr>
      </w:pPr>
      <w:r w:rsidRPr="00FB11CB">
        <w:rPr>
          <w:rFonts w:ascii="Century Gothic" w:hAnsi="Century Gothic" w:cs="Arial"/>
          <w:b/>
          <w:color w:val="525252" w:themeColor="accent3" w:themeShade="80"/>
          <w:sz w:val="24"/>
          <w:szCs w:val="24"/>
          <w:u w:val="single"/>
        </w:rPr>
        <w:t>Thornborough Village Hall</w:t>
      </w:r>
    </w:p>
    <w:p w14:paraId="2B5BA06B" w14:textId="77777777" w:rsidR="00FB11CB" w:rsidRPr="00FB11CB" w:rsidRDefault="00FB11CB" w:rsidP="00FB11CB">
      <w:pPr>
        <w:spacing w:after="0" w:line="240" w:lineRule="auto"/>
        <w:jc w:val="center"/>
        <w:rPr>
          <w:rFonts w:ascii="Century Gothic" w:hAnsi="Century Gothic" w:cs="Arial"/>
          <w:b/>
          <w:color w:val="525252" w:themeColor="accent3" w:themeShade="80"/>
          <w:sz w:val="24"/>
          <w:szCs w:val="24"/>
          <w:u w:val="single"/>
        </w:rPr>
      </w:pPr>
    </w:p>
    <w:p w14:paraId="1C83E107" w14:textId="5DEBBF18" w:rsidR="00FB11CB" w:rsidRDefault="00FB11CB" w:rsidP="00FB11CB">
      <w:pPr>
        <w:spacing w:after="0" w:line="240" w:lineRule="auto"/>
        <w:jc w:val="center"/>
        <w:rPr>
          <w:rFonts w:ascii="Century Gothic" w:hAnsi="Century Gothic" w:cs="Arial"/>
          <w:b/>
          <w:color w:val="525252" w:themeColor="accent3" w:themeShade="80"/>
          <w:sz w:val="24"/>
          <w:szCs w:val="24"/>
          <w:u w:val="single"/>
        </w:rPr>
      </w:pPr>
      <w:r w:rsidRPr="00FB11CB">
        <w:rPr>
          <w:rFonts w:ascii="Century Gothic" w:hAnsi="Century Gothic" w:cs="Arial"/>
          <w:b/>
          <w:color w:val="525252" w:themeColor="accent3" w:themeShade="80"/>
          <w:sz w:val="24"/>
          <w:szCs w:val="24"/>
          <w:u w:val="single"/>
        </w:rPr>
        <w:t>Equality and Diversity Policy Statement</w:t>
      </w:r>
    </w:p>
    <w:p w14:paraId="380ED675" w14:textId="77777777" w:rsidR="00FB11CB" w:rsidRPr="00FB11CB" w:rsidRDefault="00FB11CB" w:rsidP="00FB11CB">
      <w:pPr>
        <w:spacing w:after="0" w:line="240" w:lineRule="auto"/>
        <w:jc w:val="center"/>
        <w:rPr>
          <w:rFonts w:ascii="Century Gothic" w:hAnsi="Century Gothic" w:cs="Arial"/>
          <w:b/>
          <w:color w:val="525252" w:themeColor="accent3" w:themeShade="80"/>
          <w:sz w:val="24"/>
          <w:szCs w:val="24"/>
          <w:u w:val="single"/>
        </w:rPr>
      </w:pPr>
    </w:p>
    <w:p w14:paraId="0A5C8809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1ADB877B" w14:textId="228258A4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 xml:space="preserve">The purpose of this statement is to mitigate any potential discrimination or unfair treatment against Thornborough </w:t>
      </w:r>
      <w:r>
        <w:rPr>
          <w:rFonts w:ascii="Century Gothic" w:hAnsi="Century Gothic" w:cs="Arial"/>
        </w:rPr>
        <w:t>Village Hall users and committee members.</w:t>
      </w:r>
    </w:p>
    <w:p w14:paraId="72E934B9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7798A280" w14:textId="77777777" w:rsidR="00FB11CB" w:rsidRPr="00FB11CB" w:rsidRDefault="00FB11CB" w:rsidP="00FB11CB">
      <w:pPr>
        <w:spacing w:line="240" w:lineRule="auto"/>
        <w:rPr>
          <w:rFonts w:ascii="Century Gothic" w:hAnsi="Century Gothic" w:cs="Arial"/>
          <w:b/>
          <w:color w:val="525252" w:themeColor="accent3" w:themeShade="80"/>
          <w:u w:val="single"/>
        </w:rPr>
      </w:pPr>
      <w:r w:rsidRPr="00FB11CB">
        <w:rPr>
          <w:rFonts w:ascii="Century Gothic" w:hAnsi="Century Gothic" w:cs="Arial"/>
          <w:b/>
          <w:color w:val="525252" w:themeColor="accent3" w:themeShade="80"/>
          <w:u w:val="single"/>
        </w:rPr>
        <w:t xml:space="preserve">DEFINITIONS: </w:t>
      </w:r>
    </w:p>
    <w:p w14:paraId="359F0E19" w14:textId="77777777" w:rsidR="00FB11CB" w:rsidRPr="00FB11CB" w:rsidRDefault="00FB11CB" w:rsidP="00FB11CB">
      <w:pPr>
        <w:spacing w:line="240" w:lineRule="auto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 xml:space="preserve">Equality is: the state of being equal, especially in status, rights, or opportunities. </w:t>
      </w:r>
    </w:p>
    <w:p w14:paraId="31ECA9D4" w14:textId="77777777" w:rsidR="00FB11CB" w:rsidRPr="00FB11CB" w:rsidRDefault="00FB11CB" w:rsidP="00FB11CB">
      <w:pPr>
        <w:spacing w:line="240" w:lineRule="auto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 xml:space="preserve">Diversity is: understanding that each individual is unique and recognising our individual differences. </w:t>
      </w:r>
    </w:p>
    <w:p w14:paraId="5F3BEE33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192DFF9C" w14:textId="2C461F12" w:rsidR="00FB11CB" w:rsidRDefault="00FB11CB" w:rsidP="00FB11CB">
      <w:pPr>
        <w:spacing w:after="0" w:line="240" w:lineRule="auto"/>
        <w:jc w:val="both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 xml:space="preserve">The </w:t>
      </w:r>
      <w:r>
        <w:rPr>
          <w:rFonts w:ascii="Century Gothic" w:hAnsi="Century Gothic" w:cs="Arial"/>
        </w:rPr>
        <w:t>Village Hall committee</w:t>
      </w:r>
      <w:r w:rsidRPr="00FB11CB">
        <w:rPr>
          <w:rFonts w:ascii="Century Gothic" w:hAnsi="Century Gothic" w:cs="Arial"/>
        </w:rPr>
        <w:t xml:space="preserve"> is committed to the principles of equality and diversity and will strive to ensure that no </w:t>
      </w:r>
      <w:r>
        <w:rPr>
          <w:rFonts w:ascii="Century Gothic" w:hAnsi="Century Gothic" w:cs="Arial"/>
        </w:rPr>
        <w:t xml:space="preserve">Village Hall user </w:t>
      </w:r>
      <w:r w:rsidRPr="00FB11CB">
        <w:rPr>
          <w:rFonts w:ascii="Century Gothic" w:hAnsi="Century Gothic" w:cs="Arial"/>
        </w:rPr>
        <w:t>will be treated less favourably on the following protected grounds:</w:t>
      </w:r>
    </w:p>
    <w:p w14:paraId="1922C3D8" w14:textId="77777777" w:rsidR="00FB11CB" w:rsidRPr="00FB11CB" w:rsidRDefault="00FB11CB" w:rsidP="00FB11CB">
      <w:pPr>
        <w:spacing w:after="0" w:line="240" w:lineRule="auto"/>
        <w:jc w:val="both"/>
        <w:rPr>
          <w:rFonts w:ascii="Century Gothic" w:hAnsi="Century Gothic" w:cs="Arial"/>
        </w:rPr>
      </w:pPr>
    </w:p>
    <w:p w14:paraId="14B3B86D" w14:textId="77777777" w:rsidR="00FB11CB" w:rsidRPr="00FB11CB" w:rsidRDefault="00FB11CB" w:rsidP="00FB11C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>Age</w:t>
      </w:r>
    </w:p>
    <w:p w14:paraId="4DB6DC47" w14:textId="77777777" w:rsidR="00FB11CB" w:rsidRPr="00FB11CB" w:rsidRDefault="00FB11CB" w:rsidP="00FB11C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>Disability</w:t>
      </w:r>
    </w:p>
    <w:p w14:paraId="7B2D6FD9" w14:textId="77777777" w:rsidR="00FB11CB" w:rsidRPr="00FB11CB" w:rsidRDefault="00FB11CB" w:rsidP="00FB11C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>Gender reassignment</w:t>
      </w:r>
    </w:p>
    <w:p w14:paraId="1928D2CB" w14:textId="77777777" w:rsidR="00FB11CB" w:rsidRPr="00FB11CB" w:rsidRDefault="00FB11CB" w:rsidP="00FB11C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>Marriage and civil partnership</w:t>
      </w:r>
    </w:p>
    <w:p w14:paraId="4E2B6C12" w14:textId="4540DECF" w:rsidR="00FB11CB" w:rsidRPr="00FB11CB" w:rsidRDefault="00FB11CB" w:rsidP="00FB11C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>Pregnancy and maternity</w:t>
      </w:r>
    </w:p>
    <w:p w14:paraId="72DDBC76" w14:textId="77777777" w:rsidR="00FB11CB" w:rsidRPr="00FB11CB" w:rsidRDefault="00FB11CB" w:rsidP="00FB11C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 xml:space="preserve">Race </w:t>
      </w:r>
    </w:p>
    <w:p w14:paraId="3F93F779" w14:textId="77777777" w:rsidR="00FB11CB" w:rsidRPr="00FB11CB" w:rsidRDefault="00FB11CB" w:rsidP="00FB11C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>Religion and belief</w:t>
      </w:r>
    </w:p>
    <w:p w14:paraId="2A89B97F" w14:textId="77777777" w:rsidR="00FB11CB" w:rsidRPr="00FB11CB" w:rsidRDefault="00FB11CB" w:rsidP="00FB11C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>Sex</w:t>
      </w:r>
    </w:p>
    <w:p w14:paraId="009DFD21" w14:textId="77777777" w:rsidR="00FB11CB" w:rsidRPr="00FB11CB" w:rsidRDefault="00FB11CB" w:rsidP="00FB11C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>Sexual orientation</w:t>
      </w:r>
    </w:p>
    <w:p w14:paraId="4804931C" w14:textId="77777777" w:rsidR="00FB11CB" w:rsidRPr="00FB11CB" w:rsidRDefault="00FB11CB" w:rsidP="00FB11C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>Or by any other condition that cannot be shown to be justifiable.</w:t>
      </w:r>
    </w:p>
    <w:p w14:paraId="728C74E2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116CF3FF" w14:textId="77777777" w:rsidR="00FB11CB" w:rsidRPr="00FB11CB" w:rsidRDefault="00FB11CB" w:rsidP="00FB11CB">
      <w:pPr>
        <w:spacing w:after="0" w:line="240" w:lineRule="auto"/>
        <w:rPr>
          <w:rFonts w:ascii="Century Gothic" w:eastAsia="Times New Roman" w:hAnsi="Century Gothic" w:cs="Arial"/>
        </w:rPr>
      </w:pPr>
      <w:r w:rsidRPr="00FB11CB">
        <w:rPr>
          <w:rFonts w:ascii="Century Gothic" w:eastAsia="Times New Roman" w:hAnsi="Century Gothic" w:cs="Arial"/>
        </w:rPr>
        <w:t xml:space="preserve">(see ACAS </w:t>
      </w:r>
      <w:r w:rsidRPr="00FB11CB">
        <w:rPr>
          <w:rFonts w:ascii="Century Gothic" w:eastAsia="Times New Roman" w:hAnsi="Century Gothic" w:cs="Arial"/>
          <w:i/>
        </w:rPr>
        <w:t>The Equality Act - What’s New and What’s Changed)</w:t>
      </w:r>
      <w:r w:rsidRPr="00FB11CB">
        <w:rPr>
          <w:rFonts w:ascii="Century Gothic" w:eastAsia="Times New Roman" w:hAnsi="Century Gothic" w:cs="Arial"/>
        </w:rPr>
        <w:t xml:space="preserve"> </w:t>
      </w:r>
    </w:p>
    <w:p w14:paraId="1BD934B6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  <w:color w:val="FF0000"/>
        </w:rPr>
      </w:pPr>
    </w:p>
    <w:p w14:paraId="76C7F0FF" w14:textId="54302829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>T</w:t>
      </w:r>
      <w:r>
        <w:rPr>
          <w:rFonts w:ascii="Century Gothic" w:hAnsi="Century Gothic" w:cs="Arial"/>
        </w:rPr>
        <w:t xml:space="preserve">hornborough Village Hall </w:t>
      </w:r>
      <w:r w:rsidRPr="00FB11CB">
        <w:rPr>
          <w:rFonts w:ascii="Century Gothic" w:hAnsi="Century Gothic" w:cs="Arial"/>
        </w:rPr>
        <w:t>welcomes members from all communities and will protect them from abuse or harassment.</w:t>
      </w:r>
    </w:p>
    <w:p w14:paraId="6F756065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04FFE2FA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  <w:b/>
          <w:color w:val="525252" w:themeColor="accent3" w:themeShade="80"/>
          <w:u w:val="single"/>
        </w:rPr>
      </w:pPr>
      <w:r w:rsidRPr="00FB11CB">
        <w:rPr>
          <w:rFonts w:ascii="Century Gothic" w:hAnsi="Century Gothic" w:cs="Arial"/>
          <w:b/>
          <w:color w:val="525252" w:themeColor="accent3" w:themeShade="80"/>
          <w:u w:val="single"/>
        </w:rPr>
        <w:t>DISCRIMINATION</w:t>
      </w:r>
    </w:p>
    <w:p w14:paraId="67B35407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65AB8E1F" w14:textId="7F4D5446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>Th</w:t>
      </w:r>
      <w:r>
        <w:rPr>
          <w:rFonts w:ascii="Century Gothic" w:hAnsi="Century Gothic" w:cs="Arial"/>
        </w:rPr>
        <w:t xml:space="preserve">ornborough Village Hall Committee </w:t>
      </w:r>
      <w:r w:rsidRPr="00FB11CB">
        <w:rPr>
          <w:rFonts w:ascii="Century Gothic" w:hAnsi="Century Gothic" w:cs="Arial"/>
        </w:rPr>
        <w:t>recognises that discrimination can take varying forms:</w:t>
      </w:r>
    </w:p>
    <w:p w14:paraId="01782597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7946BBAA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  <w:b/>
        </w:rPr>
      </w:pPr>
      <w:r w:rsidRPr="00FB11CB">
        <w:rPr>
          <w:rFonts w:ascii="Century Gothic" w:hAnsi="Century Gothic" w:cs="Arial"/>
          <w:b/>
        </w:rPr>
        <w:t>Direct:</w:t>
      </w:r>
    </w:p>
    <w:p w14:paraId="299A503D" w14:textId="598B3C95" w:rsidR="00FB11CB" w:rsidRPr="00FB11CB" w:rsidRDefault="00FB11CB" w:rsidP="00FB11C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>Where a</w:t>
      </w:r>
      <w:r>
        <w:rPr>
          <w:rFonts w:ascii="Century Gothic" w:hAnsi="Century Gothic" w:cs="Arial"/>
        </w:rPr>
        <w:t xml:space="preserve"> user </w:t>
      </w:r>
      <w:r w:rsidRPr="00FB11CB">
        <w:rPr>
          <w:rFonts w:ascii="Century Gothic" w:hAnsi="Century Gothic" w:cs="Arial"/>
        </w:rPr>
        <w:t>is treated less favourably than another in the same or similar situation on one of the grounds listed above.</w:t>
      </w:r>
    </w:p>
    <w:p w14:paraId="2004ED55" w14:textId="77777777" w:rsidR="00FB11CB" w:rsidRPr="00FB11CB" w:rsidRDefault="00FB11CB" w:rsidP="00FB11CB">
      <w:pPr>
        <w:spacing w:after="0" w:line="240" w:lineRule="auto"/>
        <w:ind w:left="360"/>
        <w:rPr>
          <w:rFonts w:ascii="Century Gothic" w:hAnsi="Century Gothic" w:cs="Arial"/>
        </w:rPr>
      </w:pPr>
    </w:p>
    <w:p w14:paraId="7811A00E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  <w:b/>
        </w:rPr>
      </w:pPr>
      <w:r w:rsidRPr="00FB11CB">
        <w:rPr>
          <w:rFonts w:ascii="Century Gothic" w:hAnsi="Century Gothic" w:cs="Arial"/>
          <w:b/>
        </w:rPr>
        <w:t>Indirect:</w:t>
      </w:r>
    </w:p>
    <w:p w14:paraId="5736328B" w14:textId="54A6F844" w:rsidR="00FB11CB" w:rsidRDefault="00FB11CB" w:rsidP="00FB11C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>Where a rule or practice is applied to all but has the effect of disadvantaging a particular group of people compared to others outside the group, unless the rule or practice is needed to achieve a legitimate aim and the means of achieving the aim are appropriate and necessary.</w:t>
      </w:r>
    </w:p>
    <w:p w14:paraId="248F25D7" w14:textId="77777777" w:rsidR="00FB11CB" w:rsidRPr="00FB11CB" w:rsidRDefault="00FB11CB" w:rsidP="00FB11CB">
      <w:pPr>
        <w:pStyle w:val="ListParagraph"/>
        <w:spacing w:after="0" w:line="240" w:lineRule="auto"/>
        <w:rPr>
          <w:rFonts w:ascii="Century Gothic" w:hAnsi="Century Gothic" w:cs="Arial"/>
        </w:rPr>
      </w:pPr>
    </w:p>
    <w:p w14:paraId="553DE945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432ACFB0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  <w:b/>
        </w:rPr>
      </w:pPr>
      <w:r w:rsidRPr="00FB11CB">
        <w:rPr>
          <w:rFonts w:ascii="Century Gothic" w:hAnsi="Century Gothic" w:cs="Arial"/>
          <w:b/>
        </w:rPr>
        <w:lastRenderedPageBreak/>
        <w:t>Victimisation:</w:t>
      </w:r>
    </w:p>
    <w:p w14:paraId="5C6E61B0" w14:textId="77777777" w:rsidR="00FB11CB" w:rsidRPr="00FB11CB" w:rsidRDefault="00FB11CB" w:rsidP="00FB11CB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>Where an individual has taken steps to enforce their rights (or has helped another to do so) and as a result is treated less favourably than those who have not complained.</w:t>
      </w:r>
    </w:p>
    <w:p w14:paraId="11A6731C" w14:textId="77777777" w:rsidR="00FB11CB" w:rsidRPr="00FB11CB" w:rsidRDefault="00FB11CB" w:rsidP="00FB11CB">
      <w:pPr>
        <w:pStyle w:val="ListParagraph"/>
        <w:spacing w:after="0" w:line="240" w:lineRule="auto"/>
        <w:ind w:left="360"/>
        <w:rPr>
          <w:rFonts w:ascii="Century Gothic" w:hAnsi="Century Gothic" w:cs="Arial"/>
        </w:rPr>
      </w:pPr>
    </w:p>
    <w:p w14:paraId="399AA84D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229C1F29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  <w:b/>
        </w:rPr>
      </w:pPr>
      <w:r w:rsidRPr="00FB11CB">
        <w:rPr>
          <w:rFonts w:ascii="Century Gothic" w:hAnsi="Century Gothic" w:cs="Arial"/>
          <w:b/>
        </w:rPr>
        <w:t>Harassment:</w:t>
      </w:r>
    </w:p>
    <w:p w14:paraId="5A6420B0" w14:textId="77777777" w:rsidR="00FB11CB" w:rsidRPr="00FB11CB" w:rsidRDefault="00FB11CB" w:rsidP="00FB11CB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>Where an individual is subjected to unwanted conduct on a protected ground which has the purpose or effect of violating their dignity or of creating an intimidating, hostile humiliating or offensive environment.</w:t>
      </w:r>
    </w:p>
    <w:p w14:paraId="4E46F400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130B8BB4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3CFB3ADA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  <w:b/>
          <w:color w:val="525252" w:themeColor="accent3" w:themeShade="80"/>
          <w:u w:val="single"/>
        </w:rPr>
      </w:pPr>
      <w:r w:rsidRPr="00FB11CB">
        <w:rPr>
          <w:rFonts w:ascii="Century Gothic" w:hAnsi="Century Gothic" w:cs="Arial"/>
          <w:b/>
          <w:color w:val="525252" w:themeColor="accent3" w:themeShade="80"/>
          <w:u w:val="single"/>
        </w:rPr>
        <w:t>EQUALITY AND DIVERSITY</w:t>
      </w:r>
    </w:p>
    <w:p w14:paraId="0D0D9B75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5E119E4F" w14:textId="1DE3F60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  <w:r w:rsidRPr="00FB11CB">
        <w:rPr>
          <w:rFonts w:ascii="Century Gothic" w:hAnsi="Century Gothic" w:cs="Arial"/>
        </w:rPr>
        <w:t>Th</w:t>
      </w:r>
      <w:r>
        <w:rPr>
          <w:rFonts w:ascii="Century Gothic" w:hAnsi="Century Gothic" w:cs="Arial"/>
        </w:rPr>
        <w:t xml:space="preserve">ornborough Village Hall Committee </w:t>
      </w:r>
      <w:r w:rsidRPr="00FB11CB">
        <w:rPr>
          <w:rFonts w:ascii="Century Gothic" w:hAnsi="Century Gothic" w:cs="Arial"/>
        </w:rPr>
        <w:t xml:space="preserve">acknowledges that treating </w:t>
      </w:r>
      <w:r>
        <w:rPr>
          <w:rFonts w:ascii="Century Gothic" w:hAnsi="Century Gothic" w:cs="Arial"/>
        </w:rPr>
        <w:t xml:space="preserve">users </w:t>
      </w:r>
      <w:r w:rsidRPr="00FB11CB">
        <w:rPr>
          <w:rFonts w:ascii="Century Gothic" w:hAnsi="Century Gothic" w:cs="Arial"/>
        </w:rPr>
        <w:t xml:space="preserve">equally does not equate to treating all </w:t>
      </w:r>
      <w:r>
        <w:rPr>
          <w:rFonts w:ascii="Century Gothic" w:hAnsi="Century Gothic" w:cs="Arial"/>
        </w:rPr>
        <w:t xml:space="preserve">users </w:t>
      </w:r>
      <w:r w:rsidRPr="00FB11CB">
        <w:rPr>
          <w:rFonts w:ascii="Century Gothic" w:hAnsi="Century Gothic" w:cs="Arial"/>
        </w:rPr>
        <w:t>in the same way, but that their needs can be met in different ways.  Th</w:t>
      </w:r>
      <w:r>
        <w:rPr>
          <w:rFonts w:ascii="Century Gothic" w:hAnsi="Century Gothic" w:cs="Arial"/>
        </w:rPr>
        <w:t xml:space="preserve">ornborough Village Hall </w:t>
      </w:r>
      <w:r w:rsidRPr="00FB11CB">
        <w:rPr>
          <w:rFonts w:ascii="Century Gothic" w:hAnsi="Century Gothic" w:cs="Arial"/>
        </w:rPr>
        <w:t>values diversity and will seek to enable a</w:t>
      </w:r>
      <w:r>
        <w:rPr>
          <w:rFonts w:ascii="Century Gothic" w:hAnsi="Century Gothic" w:cs="Arial"/>
        </w:rPr>
        <w:t>ll users to access the Village Hall.</w:t>
      </w:r>
      <w:r w:rsidRPr="00FB11CB">
        <w:rPr>
          <w:rFonts w:ascii="Century Gothic" w:hAnsi="Century Gothic" w:cs="Arial"/>
        </w:rPr>
        <w:t xml:space="preserve"> </w:t>
      </w:r>
    </w:p>
    <w:p w14:paraId="64F32F7D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6071B2BD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04E2DED2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7E53613C" w14:textId="09AF0146" w:rsidR="00FB11CB" w:rsidRDefault="00FB11CB" w:rsidP="00FB11CB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On behalf </w:t>
      </w:r>
      <w:r w:rsidRPr="00FB11CB">
        <w:rPr>
          <w:rFonts w:ascii="Century Gothic" w:hAnsi="Century Gothic" w:cs="Arial"/>
        </w:rPr>
        <w:t>Th</w:t>
      </w:r>
      <w:r>
        <w:rPr>
          <w:rFonts w:ascii="Century Gothic" w:hAnsi="Century Gothic" w:cs="Arial"/>
        </w:rPr>
        <w:t xml:space="preserve">ornborough Village Hall Committee </w:t>
      </w:r>
    </w:p>
    <w:p w14:paraId="19D09A92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2BAEFBB0" w14:textId="77777777" w:rsidR="00842D7D" w:rsidRDefault="00842D7D" w:rsidP="00FB11CB">
      <w:pPr>
        <w:spacing w:after="0" w:line="240" w:lineRule="auto"/>
        <w:rPr>
          <w:rFonts w:ascii="Century Gothic" w:hAnsi="Century Gothic" w:cs="Arial"/>
        </w:rPr>
      </w:pPr>
    </w:p>
    <w:p w14:paraId="5FC6329B" w14:textId="6555E7EA" w:rsidR="00FB11CB" w:rsidRPr="00FB11CB" w:rsidRDefault="00842D7D" w:rsidP="00FB11CB">
      <w:pPr>
        <w:spacing w:after="0" w:line="240" w:lineRule="auto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Reviewed LJ - Novemb</w:t>
      </w:r>
      <w:r w:rsidR="00D545C0">
        <w:rPr>
          <w:rFonts w:ascii="Century Gothic" w:hAnsi="Century Gothic" w:cs="Arial"/>
        </w:rPr>
        <w:t xml:space="preserve">er </w:t>
      </w:r>
      <w:r w:rsidR="00FB11CB">
        <w:rPr>
          <w:rFonts w:ascii="Century Gothic" w:hAnsi="Century Gothic" w:cs="Arial"/>
        </w:rPr>
        <w:t>202</w:t>
      </w:r>
      <w:r>
        <w:rPr>
          <w:rFonts w:ascii="Century Gothic" w:hAnsi="Century Gothic" w:cs="Arial"/>
        </w:rPr>
        <w:t>5</w:t>
      </w:r>
    </w:p>
    <w:p w14:paraId="51904F3B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283C6BFE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3107B5C8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0FD59094" w14:textId="77777777" w:rsidR="00FB11CB" w:rsidRPr="00FB11CB" w:rsidRDefault="00FB11CB" w:rsidP="00FB11CB">
      <w:pPr>
        <w:spacing w:after="0" w:line="240" w:lineRule="auto"/>
        <w:rPr>
          <w:rFonts w:ascii="Century Gothic" w:hAnsi="Century Gothic" w:cs="Arial"/>
        </w:rPr>
      </w:pPr>
    </w:p>
    <w:p w14:paraId="3C965F9A" w14:textId="77777777" w:rsidR="00744E6A" w:rsidRPr="00FB11CB" w:rsidRDefault="00744E6A">
      <w:pPr>
        <w:rPr>
          <w:rFonts w:ascii="Century Gothic" w:hAnsi="Century Gothic"/>
        </w:rPr>
      </w:pPr>
    </w:p>
    <w:sectPr w:rsidR="00744E6A" w:rsidRPr="00FB11CB" w:rsidSect="00AC25F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D20F0"/>
    <w:multiLevelType w:val="hybridMultilevel"/>
    <w:tmpl w:val="0DF255F0"/>
    <w:lvl w:ilvl="0" w:tplc="A8B6D18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92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CB"/>
    <w:rsid w:val="000A2C58"/>
    <w:rsid w:val="00744E6A"/>
    <w:rsid w:val="00842D7D"/>
    <w:rsid w:val="00AC25F6"/>
    <w:rsid w:val="00C970FD"/>
    <w:rsid w:val="00D545C0"/>
    <w:rsid w:val="00FB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122FC0"/>
  <w15:chartTrackingRefBased/>
  <w15:docId w15:val="{BE6923EF-941D-A743-8569-FFBEC4F1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1C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Julier</dc:creator>
  <cp:keywords/>
  <dc:description/>
  <cp:lastModifiedBy>Vincent Julier</cp:lastModifiedBy>
  <cp:revision>2</cp:revision>
  <cp:lastPrinted>2024-08-21T18:31:00Z</cp:lastPrinted>
  <dcterms:created xsi:type="dcterms:W3CDTF">2025-11-26T10:01:00Z</dcterms:created>
  <dcterms:modified xsi:type="dcterms:W3CDTF">2025-11-26T10:01:00Z</dcterms:modified>
</cp:coreProperties>
</file>