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B4C9" w14:textId="462CBB1C" w:rsidR="009025DD" w:rsidRPr="00AD0AE8" w:rsidRDefault="009421E0" w:rsidP="009025DD">
      <w:pPr>
        <w:pStyle w:val="Title"/>
        <w:rPr>
          <w:b/>
          <w:bCs/>
          <w:color w:val="156082" w:themeColor="accent1"/>
        </w:rPr>
      </w:pPr>
      <w:r w:rsidRPr="00AD0AE8">
        <w:rPr>
          <w:b/>
          <w:bCs/>
          <w:noProof/>
          <w:color w:val="156082" w:themeColor="accent1"/>
        </w:rPr>
        <w:drawing>
          <wp:anchor distT="0" distB="0" distL="114300" distR="114300" simplePos="0" relativeHeight="251659264" behindDoc="1" locked="0" layoutInCell="1" allowOverlap="1" wp14:anchorId="3D12FF5B" wp14:editId="7C703D58">
            <wp:simplePos x="0" y="0"/>
            <wp:positionH relativeFrom="margin">
              <wp:align>center</wp:align>
            </wp:positionH>
            <wp:positionV relativeFrom="paragraph">
              <wp:posOffset>-7620</wp:posOffset>
            </wp:positionV>
            <wp:extent cx="2251710" cy="672465"/>
            <wp:effectExtent l="0" t="0" r="0" b="0"/>
            <wp:wrapNone/>
            <wp:docPr id="71438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84732" name="Picture 7143847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1710" cy="672465"/>
                    </a:xfrm>
                    <a:prstGeom prst="rect">
                      <a:avLst/>
                    </a:prstGeom>
                  </pic:spPr>
                </pic:pic>
              </a:graphicData>
            </a:graphic>
          </wp:anchor>
        </w:drawing>
      </w:r>
    </w:p>
    <w:p w14:paraId="31B0347A" w14:textId="77777777" w:rsidR="009025DD" w:rsidRPr="00AD0AE8" w:rsidRDefault="009025DD" w:rsidP="009025DD">
      <w:pPr>
        <w:pStyle w:val="Title"/>
        <w:rPr>
          <w:b/>
          <w:bCs/>
          <w:color w:val="156082" w:themeColor="accent1"/>
        </w:rPr>
      </w:pPr>
    </w:p>
    <w:p w14:paraId="2ED04FC7" w14:textId="5502C377" w:rsidR="009515A2" w:rsidRDefault="009515A2" w:rsidP="009025DD">
      <w:pPr>
        <w:pStyle w:val="Title"/>
        <w:rPr>
          <w:b/>
          <w:bCs/>
          <w:color w:val="156082" w:themeColor="accent1"/>
        </w:rPr>
      </w:pPr>
      <w:r w:rsidRPr="00AD0AE8">
        <w:rPr>
          <w:b/>
          <w:bCs/>
          <w:color w:val="156082" w:themeColor="accent1"/>
        </w:rPr>
        <w:t>Payments, Deposits and Cancellation Policy</w:t>
      </w:r>
    </w:p>
    <w:p w14:paraId="0772786E" w14:textId="77777777" w:rsidR="000F2969" w:rsidRPr="000F2969" w:rsidRDefault="000F2969" w:rsidP="000F2969"/>
    <w:p w14:paraId="0891631B" w14:textId="632BE2FF" w:rsidR="009515A2" w:rsidRPr="001D2B2A" w:rsidRDefault="009515A2" w:rsidP="00861909">
      <w:pPr>
        <w:rPr>
          <w:rStyle w:val="IntenseEmphasis"/>
          <w:i w:val="0"/>
          <w:iCs w:val="0"/>
          <w:sz w:val="24"/>
          <w:szCs w:val="24"/>
        </w:rPr>
      </w:pPr>
      <w:r w:rsidRPr="001D2B2A">
        <w:rPr>
          <w:rStyle w:val="IntenseEmphasis"/>
          <w:i w:val="0"/>
          <w:iCs w:val="0"/>
          <w:sz w:val="24"/>
          <w:szCs w:val="24"/>
        </w:rPr>
        <w:t>To be read in conjunction with the ACRE Model Standard Conditions of Hire, which take precedence in the event of any conflict.</w:t>
      </w:r>
    </w:p>
    <w:p w14:paraId="18B0BEF4" w14:textId="4F10FCD3" w:rsidR="001D2B2A" w:rsidRPr="001D2B2A" w:rsidRDefault="001D2B2A" w:rsidP="00861909">
      <w:pPr>
        <w:rPr>
          <w:color w:val="0F4761" w:themeColor="accent1" w:themeShade="BF"/>
          <w:sz w:val="24"/>
          <w:szCs w:val="24"/>
        </w:rPr>
      </w:pPr>
      <w:r w:rsidRPr="001D2B2A">
        <w:rPr>
          <w:color w:val="0F4761" w:themeColor="accent1" w:themeShade="BF"/>
          <w:sz w:val="24"/>
          <w:szCs w:val="24"/>
        </w:rPr>
        <w:t>All charges and decisions under this policy are based on actual or reasonably incurred costs and are not intended to operate as penalties.</w:t>
      </w:r>
    </w:p>
    <w:p w14:paraId="296EAEE4" w14:textId="0931259E" w:rsidR="00AD0AE8" w:rsidRPr="001D2B2A" w:rsidRDefault="001D2B2A" w:rsidP="009515A2">
      <w:pPr>
        <w:rPr>
          <w:rFonts w:asciiTheme="majorHAnsi" w:hAnsiTheme="majorHAnsi"/>
          <w:sz w:val="24"/>
          <w:szCs w:val="24"/>
        </w:rPr>
      </w:pPr>
      <w:r w:rsidRPr="001D2B2A">
        <w:rPr>
          <w:color w:val="0F4761" w:themeColor="accent1" w:themeShade="BF"/>
          <w:sz w:val="24"/>
          <w:szCs w:val="24"/>
        </w:rPr>
        <w:t>This policy is designed to be fair, transparent, and proportionate.</w:t>
      </w:r>
    </w:p>
    <w:sdt>
      <w:sdtPr>
        <w:rPr>
          <w:rFonts w:asciiTheme="minorHAnsi" w:eastAsiaTheme="minorHAnsi" w:hAnsiTheme="minorHAnsi" w:cstheme="minorBidi"/>
          <w:color w:val="auto"/>
          <w:kern w:val="2"/>
          <w:sz w:val="22"/>
          <w:szCs w:val="22"/>
          <w:lang w:eastAsia="en-US"/>
          <w14:ligatures w14:val="standardContextual"/>
        </w:rPr>
        <w:id w:val="859083415"/>
        <w:docPartObj>
          <w:docPartGallery w:val="Table of Contents"/>
          <w:docPartUnique/>
        </w:docPartObj>
      </w:sdtPr>
      <w:sdtEndPr>
        <w:rPr>
          <w:b/>
          <w:bCs/>
        </w:rPr>
      </w:sdtEndPr>
      <w:sdtContent>
        <w:p w14:paraId="492DD0A4" w14:textId="362A8E19" w:rsidR="0061032C" w:rsidRDefault="0061032C">
          <w:pPr>
            <w:pStyle w:val="TOCHeading"/>
          </w:pPr>
          <w:r>
            <w:t>Contents</w:t>
          </w:r>
        </w:p>
        <w:p w14:paraId="6AEF6F7A" w14:textId="3654FF6B" w:rsidR="001D2B2A" w:rsidRDefault="0061032C">
          <w:pPr>
            <w:pStyle w:val="TOC3"/>
            <w:tabs>
              <w:tab w:val="right" w:leader="dot" w:pos="9016"/>
            </w:tabs>
            <w:rPr>
              <w:rFonts w:eastAsiaTheme="minorEastAsia"/>
              <w:noProof/>
              <w:sz w:val="24"/>
              <w:szCs w:val="24"/>
              <w:lang w:eastAsia="en-GB"/>
            </w:rPr>
          </w:pPr>
          <w:r>
            <w:fldChar w:fldCharType="begin"/>
          </w:r>
          <w:r>
            <w:instrText xml:space="preserve"> TOC \o "1-4" \h \z \u </w:instrText>
          </w:r>
          <w:r>
            <w:fldChar w:fldCharType="separate"/>
          </w:r>
          <w:hyperlink w:anchor="_Toc227059496" w:history="1">
            <w:r w:rsidR="001D2B2A" w:rsidRPr="00DE0472">
              <w:rPr>
                <w:rStyle w:val="Hyperlink"/>
                <w:noProof/>
              </w:rPr>
              <w:t>1. General Statement</w:t>
            </w:r>
            <w:r w:rsidR="001D2B2A">
              <w:rPr>
                <w:noProof/>
                <w:webHidden/>
              </w:rPr>
              <w:tab/>
            </w:r>
            <w:r w:rsidR="001D2B2A">
              <w:rPr>
                <w:noProof/>
                <w:webHidden/>
              </w:rPr>
              <w:fldChar w:fldCharType="begin"/>
            </w:r>
            <w:r w:rsidR="001D2B2A">
              <w:rPr>
                <w:noProof/>
                <w:webHidden/>
              </w:rPr>
              <w:instrText xml:space="preserve"> PAGEREF _Toc227059496 \h </w:instrText>
            </w:r>
            <w:r w:rsidR="001D2B2A">
              <w:rPr>
                <w:noProof/>
                <w:webHidden/>
              </w:rPr>
            </w:r>
            <w:r w:rsidR="001D2B2A">
              <w:rPr>
                <w:noProof/>
                <w:webHidden/>
              </w:rPr>
              <w:fldChar w:fldCharType="separate"/>
            </w:r>
            <w:r w:rsidR="001D2B2A">
              <w:rPr>
                <w:noProof/>
                <w:webHidden/>
              </w:rPr>
              <w:t>1</w:t>
            </w:r>
            <w:r w:rsidR="001D2B2A">
              <w:rPr>
                <w:noProof/>
                <w:webHidden/>
              </w:rPr>
              <w:fldChar w:fldCharType="end"/>
            </w:r>
          </w:hyperlink>
        </w:p>
        <w:p w14:paraId="7E948139" w14:textId="683A0866" w:rsidR="001D2B2A" w:rsidRDefault="001D2B2A">
          <w:pPr>
            <w:pStyle w:val="TOC3"/>
            <w:tabs>
              <w:tab w:val="right" w:leader="dot" w:pos="9016"/>
            </w:tabs>
            <w:rPr>
              <w:rFonts w:eastAsiaTheme="minorEastAsia"/>
              <w:noProof/>
              <w:sz w:val="24"/>
              <w:szCs w:val="24"/>
              <w:lang w:eastAsia="en-GB"/>
            </w:rPr>
          </w:pPr>
          <w:hyperlink w:anchor="_Toc227059497" w:history="1">
            <w:r w:rsidRPr="00DE0472">
              <w:rPr>
                <w:rStyle w:val="Hyperlink"/>
                <w:noProof/>
              </w:rPr>
              <w:t>2. Formation of Contract</w:t>
            </w:r>
            <w:r>
              <w:rPr>
                <w:noProof/>
                <w:webHidden/>
              </w:rPr>
              <w:tab/>
            </w:r>
            <w:r>
              <w:rPr>
                <w:noProof/>
                <w:webHidden/>
              </w:rPr>
              <w:fldChar w:fldCharType="begin"/>
            </w:r>
            <w:r>
              <w:rPr>
                <w:noProof/>
                <w:webHidden/>
              </w:rPr>
              <w:instrText xml:space="preserve"> PAGEREF _Toc227059497 \h </w:instrText>
            </w:r>
            <w:r>
              <w:rPr>
                <w:noProof/>
                <w:webHidden/>
              </w:rPr>
            </w:r>
            <w:r>
              <w:rPr>
                <w:noProof/>
                <w:webHidden/>
              </w:rPr>
              <w:fldChar w:fldCharType="separate"/>
            </w:r>
            <w:r>
              <w:rPr>
                <w:noProof/>
                <w:webHidden/>
              </w:rPr>
              <w:t>2</w:t>
            </w:r>
            <w:r>
              <w:rPr>
                <w:noProof/>
                <w:webHidden/>
              </w:rPr>
              <w:fldChar w:fldCharType="end"/>
            </w:r>
          </w:hyperlink>
        </w:p>
        <w:p w14:paraId="222E59D3" w14:textId="4AC2D8A2" w:rsidR="001D2B2A" w:rsidRDefault="001D2B2A">
          <w:pPr>
            <w:pStyle w:val="TOC3"/>
            <w:tabs>
              <w:tab w:val="right" w:leader="dot" w:pos="9016"/>
            </w:tabs>
            <w:rPr>
              <w:rFonts w:eastAsiaTheme="minorEastAsia"/>
              <w:noProof/>
              <w:sz w:val="24"/>
              <w:szCs w:val="24"/>
              <w:lang w:eastAsia="en-GB"/>
            </w:rPr>
          </w:pPr>
          <w:hyperlink w:anchor="_Toc227059498" w:history="1">
            <w:r w:rsidRPr="00DE0472">
              <w:rPr>
                <w:rStyle w:val="Hyperlink"/>
                <w:noProof/>
              </w:rPr>
              <w:t>3. Payment of Hire Charges</w:t>
            </w:r>
            <w:r>
              <w:rPr>
                <w:noProof/>
                <w:webHidden/>
              </w:rPr>
              <w:tab/>
            </w:r>
            <w:r>
              <w:rPr>
                <w:noProof/>
                <w:webHidden/>
              </w:rPr>
              <w:fldChar w:fldCharType="begin"/>
            </w:r>
            <w:r>
              <w:rPr>
                <w:noProof/>
                <w:webHidden/>
              </w:rPr>
              <w:instrText xml:space="preserve"> PAGEREF _Toc227059498 \h </w:instrText>
            </w:r>
            <w:r>
              <w:rPr>
                <w:noProof/>
                <w:webHidden/>
              </w:rPr>
            </w:r>
            <w:r>
              <w:rPr>
                <w:noProof/>
                <w:webHidden/>
              </w:rPr>
              <w:fldChar w:fldCharType="separate"/>
            </w:r>
            <w:r>
              <w:rPr>
                <w:noProof/>
                <w:webHidden/>
              </w:rPr>
              <w:t>2</w:t>
            </w:r>
            <w:r>
              <w:rPr>
                <w:noProof/>
                <w:webHidden/>
              </w:rPr>
              <w:fldChar w:fldCharType="end"/>
            </w:r>
          </w:hyperlink>
        </w:p>
        <w:p w14:paraId="6738BFB4" w14:textId="30477F6C" w:rsidR="001D2B2A" w:rsidRDefault="001D2B2A">
          <w:pPr>
            <w:pStyle w:val="TOC3"/>
            <w:tabs>
              <w:tab w:val="right" w:leader="dot" w:pos="9016"/>
            </w:tabs>
            <w:rPr>
              <w:rFonts w:eastAsiaTheme="minorEastAsia"/>
              <w:noProof/>
              <w:sz w:val="24"/>
              <w:szCs w:val="24"/>
              <w:lang w:eastAsia="en-GB"/>
            </w:rPr>
          </w:pPr>
          <w:hyperlink w:anchor="_Toc227059499" w:history="1">
            <w:r w:rsidRPr="00DE0472">
              <w:rPr>
                <w:rStyle w:val="Hyperlink"/>
                <w:noProof/>
              </w:rPr>
              <w:t>4. Security Deposit – Purpose and Holding</w:t>
            </w:r>
            <w:r>
              <w:rPr>
                <w:noProof/>
                <w:webHidden/>
              </w:rPr>
              <w:tab/>
            </w:r>
            <w:r>
              <w:rPr>
                <w:noProof/>
                <w:webHidden/>
              </w:rPr>
              <w:fldChar w:fldCharType="begin"/>
            </w:r>
            <w:r>
              <w:rPr>
                <w:noProof/>
                <w:webHidden/>
              </w:rPr>
              <w:instrText xml:space="preserve"> PAGEREF _Toc227059499 \h </w:instrText>
            </w:r>
            <w:r>
              <w:rPr>
                <w:noProof/>
                <w:webHidden/>
              </w:rPr>
            </w:r>
            <w:r>
              <w:rPr>
                <w:noProof/>
                <w:webHidden/>
              </w:rPr>
              <w:fldChar w:fldCharType="separate"/>
            </w:r>
            <w:r>
              <w:rPr>
                <w:noProof/>
                <w:webHidden/>
              </w:rPr>
              <w:t>2</w:t>
            </w:r>
            <w:r>
              <w:rPr>
                <w:noProof/>
                <w:webHidden/>
              </w:rPr>
              <w:fldChar w:fldCharType="end"/>
            </w:r>
          </w:hyperlink>
        </w:p>
        <w:p w14:paraId="071F443F" w14:textId="31769903" w:rsidR="001D2B2A" w:rsidRDefault="001D2B2A">
          <w:pPr>
            <w:pStyle w:val="TOC3"/>
            <w:tabs>
              <w:tab w:val="right" w:leader="dot" w:pos="9016"/>
            </w:tabs>
            <w:rPr>
              <w:rFonts w:eastAsiaTheme="minorEastAsia"/>
              <w:noProof/>
              <w:sz w:val="24"/>
              <w:szCs w:val="24"/>
              <w:lang w:eastAsia="en-GB"/>
            </w:rPr>
          </w:pPr>
          <w:hyperlink w:anchor="_Toc227059500" w:history="1">
            <w:r w:rsidRPr="00DE0472">
              <w:rPr>
                <w:rStyle w:val="Hyperlink"/>
                <w:noProof/>
              </w:rPr>
              <w:t>5. Classification of Events</w:t>
            </w:r>
            <w:r>
              <w:rPr>
                <w:noProof/>
                <w:webHidden/>
              </w:rPr>
              <w:tab/>
            </w:r>
            <w:r>
              <w:rPr>
                <w:noProof/>
                <w:webHidden/>
              </w:rPr>
              <w:fldChar w:fldCharType="begin"/>
            </w:r>
            <w:r>
              <w:rPr>
                <w:noProof/>
                <w:webHidden/>
              </w:rPr>
              <w:instrText xml:space="preserve"> PAGEREF _Toc227059500 \h </w:instrText>
            </w:r>
            <w:r>
              <w:rPr>
                <w:noProof/>
                <w:webHidden/>
              </w:rPr>
            </w:r>
            <w:r>
              <w:rPr>
                <w:noProof/>
                <w:webHidden/>
              </w:rPr>
              <w:fldChar w:fldCharType="separate"/>
            </w:r>
            <w:r>
              <w:rPr>
                <w:noProof/>
                <w:webHidden/>
              </w:rPr>
              <w:t>2</w:t>
            </w:r>
            <w:r>
              <w:rPr>
                <w:noProof/>
                <w:webHidden/>
              </w:rPr>
              <w:fldChar w:fldCharType="end"/>
            </w:r>
          </w:hyperlink>
        </w:p>
        <w:p w14:paraId="5589CEEC" w14:textId="73B3C0E4" w:rsidR="001D2B2A" w:rsidRDefault="001D2B2A">
          <w:pPr>
            <w:pStyle w:val="TOC4"/>
            <w:tabs>
              <w:tab w:val="right" w:leader="dot" w:pos="9016"/>
            </w:tabs>
            <w:rPr>
              <w:rFonts w:eastAsiaTheme="minorEastAsia"/>
              <w:noProof/>
              <w:sz w:val="24"/>
              <w:szCs w:val="24"/>
              <w:lang w:eastAsia="en-GB"/>
            </w:rPr>
          </w:pPr>
          <w:hyperlink w:anchor="_Toc227059501" w:history="1">
            <w:r w:rsidRPr="00DE0472">
              <w:rPr>
                <w:rStyle w:val="Hyperlink"/>
                <w:noProof/>
              </w:rPr>
              <w:t>5.1 Children’s Parties and Low-Risk Events</w:t>
            </w:r>
            <w:r>
              <w:rPr>
                <w:noProof/>
                <w:webHidden/>
              </w:rPr>
              <w:tab/>
            </w:r>
            <w:r>
              <w:rPr>
                <w:noProof/>
                <w:webHidden/>
              </w:rPr>
              <w:fldChar w:fldCharType="begin"/>
            </w:r>
            <w:r>
              <w:rPr>
                <w:noProof/>
                <w:webHidden/>
              </w:rPr>
              <w:instrText xml:space="preserve"> PAGEREF _Toc227059501 \h </w:instrText>
            </w:r>
            <w:r>
              <w:rPr>
                <w:noProof/>
                <w:webHidden/>
              </w:rPr>
            </w:r>
            <w:r>
              <w:rPr>
                <w:noProof/>
                <w:webHidden/>
              </w:rPr>
              <w:fldChar w:fldCharType="separate"/>
            </w:r>
            <w:r>
              <w:rPr>
                <w:noProof/>
                <w:webHidden/>
              </w:rPr>
              <w:t>2</w:t>
            </w:r>
            <w:r>
              <w:rPr>
                <w:noProof/>
                <w:webHidden/>
              </w:rPr>
              <w:fldChar w:fldCharType="end"/>
            </w:r>
          </w:hyperlink>
        </w:p>
        <w:p w14:paraId="22D409C1" w14:textId="4532C928" w:rsidR="001D2B2A" w:rsidRDefault="001D2B2A">
          <w:pPr>
            <w:pStyle w:val="TOC4"/>
            <w:tabs>
              <w:tab w:val="right" w:leader="dot" w:pos="9016"/>
            </w:tabs>
            <w:rPr>
              <w:rFonts w:eastAsiaTheme="minorEastAsia"/>
              <w:noProof/>
              <w:sz w:val="24"/>
              <w:szCs w:val="24"/>
              <w:lang w:eastAsia="en-GB"/>
            </w:rPr>
          </w:pPr>
          <w:hyperlink w:anchor="_Toc227059502" w:history="1">
            <w:r w:rsidRPr="00DE0472">
              <w:rPr>
                <w:rStyle w:val="Hyperlink"/>
                <w:noProof/>
              </w:rPr>
              <w:t>5.2 Adult Parties and Standard Events</w:t>
            </w:r>
            <w:r>
              <w:rPr>
                <w:noProof/>
                <w:webHidden/>
              </w:rPr>
              <w:tab/>
            </w:r>
            <w:r>
              <w:rPr>
                <w:noProof/>
                <w:webHidden/>
              </w:rPr>
              <w:fldChar w:fldCharType="begin"/>
            </w:r>
            <w:r>
              <w:rPr>
                <w:noProof/>
                <w:webHidden/>
              </w:rPr>
              <w:instrText xml:space="preserve"> PAGEREF _Toc227059502 \h </w:instrText>
            </w:r>
            <w:r>
              <w:rPr>
                <w:noProof/>
                <w:webHidden/>
              </w:rPr>
            </w:r>
            <w:r>
              <w:rPr>
                <w:noProof/>
                <w:webHidden/>
              </w:rPr>
              <w:fldChar w:fldCharType="separate"/>
            </w:r>
            <w:r>
              <w:rPr>
                <w:noProof/>
                <w:webHidden/>
              </w:rPr>
              <w:t>3</w:t>
            </w:r>
            <w:r>
              <w:rPr>
                <w:noProof/>
                <w:webHidden/>
              </w:rPr>
              <w:fldChar w:fldCharType="end"/>
            </w:r>
          </w:hyperlink>
        </w:p>
        <w:p w14:paraId="3B86F8AC" w14:textId="0922A1D9" w:rsidR="001D2B2A" w:rsidRDefault="001D2B2A">
          <w:pPr>
            <w:pStyle w:val="TOC4"/>
            <w:tabs>
              <w:tab w:val="right" w:leader="dot" w:pos="9016"/>
            </w:tabs>
            <w:rPr>
              <w:rFonts w:eastAsiaTheme="minorEastAsia"/>
              <w:noProof/>
              <w:sz w:val="24"/>
              <w:szCs w:val="24"/>
              <w:lang w:eastAsia="en-GB"/>
            </w:rPr>
          </w:pPr>
          <w:hyperlink w:anchor="_Toc227059503" w:history="1">
            <w:r w:rsidRPr="00DE0472">
              <w:rPr>
                <w:rStyle w:val="Hyperlink"/>
                <w:noProof/>
              </w:rPr>
              <w:t>5.3 Higher-Risk or Large Events</w:t>
            </w:r>
            <w:r>
              <w:rPr>
                <w:noProof/>
                <w:webHidden/>
              </w:rPr>
              <w:tab/>
            </w:r>
            <w:r>
              <w:rPr>
                <w:noProof/>
                <w:webHidden/>
              </w:rPr>
              <w:fldChar w:fldCharType="begin"/>
            </w:r>
            <w:r>
              <w:rPr>
                <w:noProof/>
                <w:webHidden/>
              </w:rPr>
              <w:instrText xml:space="preserve"> PAGEREF _Toc227059503 \h </w:instrText>
            </w:r>
            <w:r>
              <w:rPr>
                <w:noProof/>
                <w:webHidden/>
              </w:rPr>
            </w:r>
            <w:r>
              <w:rPr>
                <w:noProof/>
                <w:webHidden/>
              </w:rPr>
              <w:fldChar w:fldCharType="separate"/>
            </w:r>
            <w:r>
              <w:rPr>
                <w:noProof/>
                <w:webHidden/>
              </w:rPr>
              <w:t>3</w:t>
            </w:r>
            <w:r>
              <w:rPr>
                <w:noProof/>
                <w:webHidden/>
              </w:rPr>
              <w:fldChar w:fldCharType="end"/>
            </w:r>
          </w:hyperlink>
        </w:p>
        <w:p w14:paraId="43FEA3DE" w14:textId="0E6777EA" w:rsidR="001D2B2A" w:rsidRDefault="001D2B2A">
          <w:pPr>
            <w:pStyle w:val="TOC3"/>
            <w:tabs>
              <w:tab w:val="right" w:leader="dot" w:pos="9016"/>
            </w:tabs>
            <w:rPr>
              <w:rFonts w:eastAsiaTheme="minorEastAsia"/>
              <w:noProof/>
              <w:sz w:val="24"/>
              <w:szCs w:val="24"/>
              <w:lang w:eastAsia="en-GB"/>
            </w:rPr>
          </w:pPr>
          <w:hyperlink w:anchor="_Toc227059504" w:history="1">
            <w:r w:rsidRPr="00DE0472">
              <w:rPr>
                <w:rStyle w:val="Hyperlink"/>
                <w:noProof/>
              </w:rPr>
              <w:t>6. Condition of Hall and Additional Charges</w:t>
            </w:r>
            <w:r>
              <w:rPr>
                <w:noProof/>
                <w:webHidden/>
              </w:rPr>
              <w:tab/>
            </w:r>
            <w:r>
              <w:rPr>
                <w:noProof/>
                <w:webHidden/>
              </w:rPr>
              <w:fldChar w:fldCharType="begin"/>
            </w:r>
            <w:r>
              <w:rPr>
                <w:noProof/>
                <w:webHidden/>
              </w:rPr>
              <w:instrText xml:space="preserve"> PAGEREF _Toc227059504 \h </w:instrText>
            </w:r>
            <w:r>
              <w:rPr>
                <w:noProof/>
                <w:webHidden/>
              </w:rPr>
            </w:r>
            <w:r>
              <w:rPr>
                <w:noProof/>
                <w:webHidden/>
              </w:rPr>
              <w:fldChar w:fldCharType="separate"/>
            </w:r>
            <w:r>
              <w:rPr>
                <w:noProof/>
                <w:webHidden/>
              </w:rPr>
              <w:t>4</w:t>
            </w:r>
            <w:r>
              <w:rPr>
                <w:noProof/>
                <w:webHidden/>
              </w:rPr>
              <w:fldChar w:fldCharType="end"/>
            </w:r>
          </w:hyperlink>
        </w:p>
        <w:p w14:paraId="1AE15D22" w14:textId="1074C985" w:rsidR="001D2B2A" w:rsidRDefault="001D2B2A">
          <w:pPr>
            <w:pStyle w:val="TOC3"/>
            <w:tabs>
              <w:tab w:val="right" w:leader="dot" w:pos="9016"/>
            </w:tabs>
            <w:rPr>
              <w:rFonts w:eastAsiaTheme="minorEastAsia"/>
              <w:noProof/>
              <w:sz w:val="24"/>
              <w:szCs w:val="24"/>
              <w:lang w:eastAsia="en-GB"/>
            </w:rPr>
          </w:pPr>
          <w:hyperlink w:anchor="_Toc227059505" w:history="1">
            <w:r w:rsidRPr="00DE0472">
              <w:rPr>
                <w:rStyle w:val="Hyperlink"/>
                <w:noProof/>
              </w:rPr>
              <w:t>7. Use of Deposit</w:t>
            </w:r>
            <w:r>
              <w:rPr>
                <w:noProof/>
                <w:webHidden/>
              </w:rPr>
              <w:tab/>
            </w:r>
            <w:r>
              <w:rPr>
                <w:noProof/>
                <w:webHidden/>
              </w:rPr>
              <w:fldChar w:fldCharType="begin"/>
            </w:r>
            <w:r>
              <w:rPr>
                <w:noProof/>
                <w:webHidden/>
              </w:rPr>
              <w:instrText xml:space="preserve"> PAGEREF _Toc227059505 \h </w:instrText>
            </w:r>
            <w:r>
              <w:rPr>
                <w:noProof/>
                <w:webHidden/>
              </w:rPr>
            </w:r>
            <w:r>
              <w:rPr>
                <w:noProof/>
                <w:webHidden/>
              </w:rPr>
              <w:fldChar w:fldCharType="separate"/>
            </w:r>
            <w:r>
              <w:rPr>
                <w:noProof/>
                <w:webHidden/>
              </w:rPr>
              <w:t>4</w:t>
            </w:r>
            <w:r>
              <w:rPr>
                <w:noProof/>
                <w:webHidden/>
              </w:rPr>
              <w:fldChar w:fldCharType="end"/>
            </w:r>
          </w:hyperlink>
        </w:p>
        <w:p w14:paraId="52BEA0E4" w14:textId="6A641B82" w:rsidR="001D2B2A" w:rsidRDefault="001D2B2A">
          <w:pPr>
            <w:pStyle w:val="TOC3"/>
            <w:tabs>
              <w:tab w:val="right" w:leader="dot" w:pos="9016"/>
            </w:tabs>
            <w:rPr>
              <w:rFonts w:eastAsiaTheme="minorEastAsia"/>
              <w:noProof/>
              <w:sz w:val="24"/>
              <w:szCs w:val="24"/>
              <w:lang w:eastAsia="en-GB"/>
            </w:rPr>
          </w:pPr>
          <w:hyperlink w:anchor="_Toc227059506" w:history="1">
            <w:r w:rsidRPr="00DE0472">
              <w:rPr>
                <w:rStyle w:val="Hyperlink"/>
                <w:noProof/>
              </w:rPr>
              <w:t>8. General Administration Fee Policy</w:t>
            </w:r>
            <w:r>
              <w:rPr>
                <w:noProof/>
                <w:webHidden/>
              </w:rPr>
              <w:tab/>
            </w:r>
            <w:r>
              <w:rPr>
                <w:noProof/>
                <w:webHidden/>
              </w:rPr>
              <w:fldChar w:fldCharType="begin"/>
            </w:r>
            <w:r>
              <w:rPr>
                <w:noProof/>
                <w:webHidden/>
              </w:rPr>
              <w:instrText xml:space="preserve"> PAGEREF _Toc227059506 \h </w:instrText>
            </w:r>
            <w:r>
              <w:rPr>
                <w:noProof/>
                <w:webHidden/>
              </w:rPr>
            </w:r>
            <w:r>
              <w:rPr>
                <w:noProof/>
                <w:webHidden/>
              </w:rPr>
              <w:fldChar w:fldCharType="separate"/>
            </w:r>
            <w:r>
              <w:rPr>
                <w:noProof/>
                <w:webHidden/>
              </w:rPr>
              <w:t>4</w:t>
            </w:r>
            <w:r>
              <w:rPr>
                <w:noProof/>
                <w:webHidden/>
              </w:rPr>
              <w:fldChar w:fldCharType="end"/>
            </w:r>
          </w:hyperlink>
        </w:p>
        <w:p w14:paraId="762F25DD" w14:textId="5C6C7E60" w:rsidR="001D2B2A" w:rsidRDefault="001D2B2A">
          <w:pPr>
            <w:pStyle w:val="TOC3"/>
            <w:tabs>
              <w:tab w:val="right" w:leader="dot" w:pos="9016"/>
            </w:tabs>
            <w:rPr>
              <w:rFonts w:eastAsiaTheme="minorEastAsia"/>
              <w:noProof/>
              <w:sz w:val="24"/>
              <w:szCs w:val="24"/>
              <w:lang w:eastAsia="en-GB"/>
            </w:rPr>
          </w:pPr>
          <w:hyperlink w:anchor="_Toc227059507" w:history="1">
            <w:r w:rsidRPr="00DE0472">
              <w:rPr>
                <w:rStyle w:val="Hyperlink"/>
                <w:noProof/>
              </w:rPr>
              <w:t>9. Trustee Discretion</w:t>
            </w:r>
            <w:r>
              <w:rPr>
                <w:noProof/>
                <w:webHidden/>
              </w:rPr>
              <w:tab/>
            </w:r>
            <w:r>
              <w:rPr>
                <w:noProof/>
                <w:webHidden/>
              </w:rPr>
              <w:fldChar w:fldCharType="begin"/>
            </w:r>
            <w:r>
              <w:rPr>
                <w:noProof/>
                <w:webHidden/>
              </w:rPr>
              <w:instrText xml:space="preserve"> PAGEREF _Toc227059507 \h </w:instrText>
            </w:r>
            <w:r>
              <w:rPr>
                <w:noProof/>
                <w:webHidden/>
              </w:rPr>
            </w:r>
            <w:r>
              <w:rPr>
                <w:noProof/>
                <w:webHidden/>
              </w:rPr>
              <w:fldChar w:fldCharType="separate"/>
            </w:r>
            <w:r>
              <w:rPr>
                <w:noProof/>
                <w:webHidden/>
              </w:rPr>
              <w:t>4</w:t>
            </w:r>
            <w:r>
              <w:rPr>
                <w:noProof/>
                <w:webHidden/>
              </w:rPr>
              <w:fldChar w:fldCharType="end"/>
            </w:r>
          </w:hyperlink>
        </w:p>
        <w:p w14:paraId="09CC83BA" w14:textId="2C82E8A2" w:rsidR="001D2B2A" w:rsidRDefault="001D2B2A">
          <w:pPr>
            <w:pStyle w:val="TOC3"/>
            <w:tabs>
              <w:tab w:val="right" w:leader="dot" w:pos="9016"/>
            </w:tabs>
            <w:rPr>
              <w:rFonts w:eastAsiaTheme="minorEastAsia"/>
              <w:noProof/>
              <w:sz w:val="24"/>
              <w:szCs w:val="24"/>
              <w:lang w:eastAsia="en-GB"/>
            </w:rPr>
          </w:pPr>
          <w:hyperlink w:anchor="_Toc227059508" w:history="1">
            <w:r w:rsidRPr="00DE0472">
              <w:rPr>
                <w:rStyle w:val="Hyperlink"/>
                <w:noProof/>
              </w:rPr>
              <w:t>10. Summary Principles</w:t>
            </w:r>
            <w:r>
              <w:rPr>
                <w:noProof/>
                <w:webHidden/>
              </w:rPr>
              <w:tab/>
            </w:r>
            <w:r>
              <w:rPr>
                <w:noProof/>
                <w:webHidden/>
              </w:rPr>
              <w:fldChar w:fldCharType="begin"/>
            </w:r>
            <w:r>
              <w:rPr>
                <w:noProof/>
                <w:webHidden/>
              </w:rPr>
              <w:instrText xml:space="preserve"> PAGEREF _Toc227059508 \h </w:instrText>
            </w:r>
            <w:r>
              <w:rPr>
                <w:noProof/>
                <w:webHidden/>
              </w:rPr>
            </w:r>
            <w:r>
              <w:rPr>
                <w:noProof/>
                <w:webHidden/>
              </w:rPr>
              <w:fldChar w:fldCharType="separate"/>
            </w:r>
            <w:r>
              <w:rPr>
                <w:noProof/>
                <w:webHidden/>
              </w:rPr>
              <w:t>5</w:t>
            </w:r>
            <w:r>
              <w:rPr>
                <w:noProof/>
                <w:webHidden/>
              </w:rPr>
              <w:fldChar w:fldCharType="end"/>
            </w:r>
          </w:hyperlink>
        </w:p>
        <w:p w14:paraId="7DA9F3F9" w14:textId="05E6348A" w:rsidR="0061032C" w:rsidRDefault="0061032C">
          <w:r>
            <w:fldChar w:fldCharType="end"/>
          </w:r>
        </w:p>
      </w:sdtContent>
    </w:sdt>
    <w:p w14:paraId="5C2644C6" w14:textId="7460E024" w:rsidR="009515A2" w:rsidRPr="00AD0AE8" w:rsidRDefault="009515A2" w:rsidP="00F9713D">
      <w:pPr>
        <w:pStyle w:val="Heading3"/>
        <w:pBdr>
          <w:bottom w:val="single" w:sz="12" w:space="1" w:color="156082" w:themeColor="accent1"/>
        </w:pBdr>
      </w:pPr>
      <w:bookmarkStart w:id="0" w:name="_Toc227059496"/>
      <w:r w:rsidRPr="00AD0AE8">
        <w:t>1. General Statement</w:t>
      </w:r>
      <w:bookmarkEnd w:id="0"/>
    </w:p>
    <w:p w14:paraId="43294203" w14:textId="77777777" w:rsidR="009515A2" w:rsidRPr="00AD0AE8" w:rsidRDefault="009515A2" w:rsidP="009515A2">
      <w:pPr>
        <w:rPr>
          <w:rFonts w:asciiTheme="majorHAnsi" w:hAnsiTheme="majorHAnsi"/>
        </w:rPr>
      </w:pPr>
      <w:r w:rsidRPr="00AD0AE8">
        <w:rPr>
          <w:rFonts w:asciiTheme="majorHAnsi" w:hAnsiTheme="majorHAnsi"/>
        </w:rPr>
        <w:t xml:space="preserve">All bookings of </w:t>
      </w:r>
      <w:proofErr w:type="spellStart"/>
      <w:r w:rsidRPr="00AD0AE8">
        <w:rPr>
          <w:rFonts w:asciiTheme="majorHAnsi" w:hAnsiTheme="majorHAnsi"/>
        </w:rPr>
        <w:t>Meldreth</w:t>
      </w:r>
      <w:proofErr w:type="spellEnd"/>
      <w:r w:rsidRPr="00AD0AE8">
        <w:rPr>
          <w:rFonts w:asciiTheme="majorHAnsi" w:hAnsiTheme="majorHAnsi"/>
        </w:rPr>
        <w:t xml:space="preserve"> Village Hall are subject to the ACRE Model Standard Conditions of Hire, which form the primary contractual terms between the Hall and the Hirer.</w:t>
      </w:r>
    </w:p>
    <w:p w14:paraId="20D63E04" w14:textId="77777777" w:rsidR="009515A2" w:rsidRPr="00AD0AE8" w:rsidRDefault="009515A2" w:rsidP="009515A2">
      <w:pPr>
        <w:rPr>
          <w:rFonts w:asciiTheme="majorHAnsi" w:hAnsiTheme="majorHAnsi"/>
        </w:rPr>
      </w:pPr>
      <w:r w:rsidRPr="00AD0AE8">
        <w:rPr>
          <w:rFonts w:asciiTheme="majorHAnsi" w:hAnsiTheme="majorHAnsi"/>
        </w:rPr>
        <w:t>This policy supplements those Conditions and sets out the Hall’s approach to payments, deposits, cancellations, and additional charges.</w:t>
      </w:r>
    </w:p>
    <w:p w14:paraId="5615D986" w14:textId="77777777" w:rsidR="009515A2" w:rsidRPr="00AD0AE8" w:rsidRDefault="009515A2" w:rsidP="009515A2">
      <w:pPr>
        <w:rPr>
          <w:rFonts w:asciiTheme="majorHAnsi" w:hAnsiTheme="majorHAnsi"/>
        </w:rPr>
      </w:pPr>
      <w:r w:rsidRPr="00AD0AE8">
        <w:rPr>
          <w:rFonts w:asciiTheme="majorHAnsi" w:hAnsiTheme="majorHAnsi"/>
        </w:rPr>
        <w:t>In the event of any inconsistency between this policy and the ACRE Model Standard Conditions of Hire, the ACRE Conditions shall prevail.</w:t>
      </w:r>
    </w:p>
    <w:p w14:paraId="1F46BAC1" w14:textId="77777777" w:rsidR="009515A2" w:rsidRDefault="009515A2" w:rsidP="009515A2">
      <w:pPr>
        <w:rPr>
          <w:rFonts w:asciiTheme="majorHAnsi" w:hAnsiTheme="majorHAnsi"/>
        </w:rPr>
      </w:pPr>
      <w:r w:rsidRPr="00AD0AE8">
        <w:rPr>
          <w:rFonts w:asciiTheme="majorHAnsi" w:hAnsiTheme="majorHAnsi"/>
        </w:rPr>
        <w:lastRenderedPageBreak/>
        <w:t>The Trustees will act reasonably and in good faith when applying this policy and exercising any discretion contained within it.</w:t>
      </w:r>
    </w:p>
    <w:p w14:paraId="35C9DC18" w14:textId="77777777" w:rsidR="009515A2" w:rsidRPr="00AD0AE8" w:rsidRDefault="009515A2" w:rsidP="00F9713D">
      <w:pPr>
        <w:pStyle w:val="Heading3"/>
        <w:pBdr>
          <w:bottom w:val="single" w:sz="12" w:space="1" w:color="156082" w:themeColor="accent1"/>
        </w:pBdr>
      </w:pPr>
      <w:bookmarkStart w:id="1" w:name="_Toc227059497"/>
      <w:r w:rsidRPr="00AD0AE8">
        <w:t>2. Formation of Contract</w:t>
      </w:r>
      <w:bookmarkEnd w:id="1"/>
    </w:p>
    <w:p w14:paraId="1C0D4D7A" w14:textId="77777777" w:rsidR="009515A2" w:rsidRPr="00AD0AE8" w:rsidRDefault="009515A2" w:rsidP="009515A2">
      <w:pPr>
        <w:rPr>
          <w:rFonts w:asciiTheme="majorHAnsi" w:hAnsiTheme="majorHAnsi"/>
        </w:rPr>
      </w:pPr>
      <w:r w:rsidRPr="00AD0AE8">
        <w:rPr>
          <w:rFonts w:asciiTheme="majorHAnsi" w:hAnsiTheme="majorHAnsi"/>
        </w:rPr>
        <w:t>A legally binding contract is formed when:</w:t>
      </w:r>
    </w:p>
    <w:p w14:paraId="4562031B" w14:textId="77777777" w:rsidR="009515A2" w:rsidRPr="00AD0AE8" w:rsidRDefault="009515A2" w:rsidP="009515A2">
      <w:pPr>
        <w:numPr>
          <w:ilvl w:val="0"/>
          <w:numId w:val="1"/>
        </w:numPr>
        <w:rPr>
          <w:rFonts w:asciiTheme="majorHAnsi" w:hAnsiTheme="majorHAnsi"/>
        </w:rPr>
      </w:pPr>
      <w:r w:rsidRPr="00AD0AE8">
        <w:rPr>
          <w:rFonts w:asciiTheme="majorHAnsi" w:hAnsiTheme="majorHAnsi"/>
        </w:rPr>
        <w:t xml:space="preserve">the Hall confirms the booking (whether electronically or in writing), and </w:t>
      </w:r>
    </w:p>
    <w:p w14:paraId="5C1E0F14" w14:textId="77777777" w:rsidR="009515A2" w:rsidRPr="00AD0AE8" w:rsidRDefault="009515A2" w:rsidP="009515A2">
      <w:pPr>
        <w:numPr>
          <w:ilvl w:val="0"/>
          <w:numId w:val="1"/>
        </w:numPr>
        <w:rPr>
          <w:rFonts w:asciiTheme="majorHAnsi" w:hAnsiTheme="majorHAnsi"/>
        </w:rPr>
      </w:pPr>
      <w:r w:rsidRPr="00AD0AE8">
        <w:rPr>
          <w:rFonts w:asciiTheme="majorHAnsi" w:hAnsiTheme="majorHAnsi"/>
        </w:rPr>
        <w:t xml:space="preserve">the Hirer confirms acceptance of the ACRE Model Standard Conditions of Hire (and any supplementary conditions notified at the time of booking). </w:t>
      </w:r>
    </w:p>
    <w:p w14:paraId="08355E2B" w14:textId="77777777" w:rsidR="009515A2" w:rsidRPr="00AD0AE8" w:rsidRDefault="009515A2" w:rsidP="009515A2">
      <w:pPr>
        <w:rPr>
          <w:rFonts w:asciiTheme="majorHAnsi" w:hAnsiTheme="majorHAnsi"/>
        </w:rPr>
      </w:pPr>
      <w:r w:rsidRPr="00AD0AE8">
        <w:rPr>
          <w:rFonts w:asciiTheme="majorHAnsi" w:hAnsiTheme="majorHAnsi"/>
        </w:rPr>
        <w:t>Payment does not determine whether a contract exists but is required in accordance with the payment terms set out below.</w:t>
      </w:r>
    </w:p>
    <w:p w14:paraId="026A3A51" w14:textId="77777777" w:rsidR="009515A2" w:rsidRPr="00AD0AE8" w:rsidRDefault="009515A2" w:rsidP="009515A2">
      <w:pPr>
        <w:rPr>
          <w:rFonts w:asciiTheme="majorHAnsi" w:hAnsiTheme="majorHAnsi"/>
        </w:rPr>
      </w:pPr>
      <w:r w:rsidRPr="00AD0AE8">
        <w:rPr>
          <w:rFonts w:asciiTheme="majorHAnsi" w:hAnsiTheme="majorHAnsi"/>
        </w:rPr>
        <w:t>By making a booking, the Hirer agrees to be bound by:</w:t>
      </w:r>
    </w:p>
    <w:p w14:paraId="404BECB9" w14:textId="77777777" w:rsidR="009515A2" w:rsidRPr="00AD0AE8" w:rsidRDefault="009515A2" w:rsidP="009515A2">
      <w:pPr>
        <w:numPr>
          <w:ilvl w:val="0"/>
          <w:numId w:val="2"/>
        </w:numPr>
        <w:rPr>
          <w:rFonts w:asciiTheme="majorHAnsi" w:hAnsiTheme="majorHAnsi"/>
        </w:rPr>
      </w:pPr>
      <w:r w:rsidRPr="00AD0AE8">
        <w:rPr>
          <w:rFonts w:asciiTheme="majorHAnsi" w:hAnsiTheme="majorHAnsi"/>
        </w:rPr>
        <w:t xml:space="preserve">the ACRE Model Standard Conditions of Hire </w:t>
      </w:r>
    </w:p>
    <w:p w14:paraId="52E4D81D" w14:textId="34B3DEB0" w:rsidR="005A714E" w:rsidRDefault="009515A2" w:rsidP="005A714E">
      <w:pPr>
        <w:numPr>
          <w:ilvl w:val="0"/>
          <w:numId w:val="2"/>
        </w:numPr>
        <w:rPr>
          <w:rFonts w:asciiTheme="majorHAnsi" w:hAnsiTheme="majorHAnsi"/>
        </w:rPr>
      </w:pPr>
      <w:r w:rsidRPr="00AD0AE8">
        <w:rPr>
          <w:rFonts w:asciiTheme="majorHAnsi" w:hAnsiTheme="majorHAnsi"/>
        </w:rPr>
        <w:t xml:space="preserve">this Payments, Deposits and Cancellation Policy </w:t>
      </w:r>
    </w:p>
    <w:p w14:paraId="5BA8B2C0" w14:textId="77777777" w:rsidR="009515A2" w:rsidRPr="00AD0AE8" w:rsidRDefault="009515A2" w:rsidP="00F9713D">
      <w:pPr>
        <w:pStyle w:val="Heading3"/>
        <w:pBdr>
          <w:bottom w:val="single" w:sz="12" w:space="1" w:color="156082" w:themeColor="accent1"/>
        </w:pBdr>
      </w:pPr>
      <w:bookmarkStart w:id="2" w:name="_Toc227059498"/>
      <w:r w:rsidRPr="00AD0AE8">
        <w:t>3. Payment of Hire Charges</w:t>
      </w:r>
      <w:bookmarkEnd w:id="2"/>
    </w:p>
    <w:p w14:paraId="554B6F8C" w14:textId="77777777" w:rsidR="00B43796" w:rsidRDefault="009515A2" w:rsidP="009515A2">
      <w:pPr>
        <w:rPr>
          <w:rFonts w:asciiTheme="majorHAnsi" w:hAnsiTheme="majorHAnsi"/>
        </w:rPr>
      </w:pPr>
      <w:r w:rsidRPr="00AD0AE8">
        <w:rPr>
          <w:rFonts w:asciiTheme="majorHAnsi" w:hAnsiTheme="majorHAnsi"/>
        </w:rPr>
        <w:t>Hire fees and any applicable deposit must be paid within 14 days of booking confirmation unless otherwise specified in writing at the time of booking (for example, where an earlier or later payment date is required for operational reasons).</w:t>
      </w:r>
      <w:r w:rsidR="00B43796">
        <w:rPr>
          <w:rFonts w:asciiTheme="majorHAnsi" w:hAnsiTheme="majorHAnsi"/>
        </w:rPr>
        <w:t xml:space="preserve"> </w:t>
      </w:r>
    </w:p>
    <w:p w14:paraId="71DE488A" w14:textId="42F893D0" w:rsidR="009515A2" w:rsidRPr="00AD0AE8" w:rsidRDefault="00B43796" w:rsidP="009515A2">
      <w:pPr>
        <w:rPr>
          <w:rFonts w:asciiTheme="majorHAnsi" w:hAnsiTheme="majorHAnsi"/>
        </w:rPr>
      </w:pPr>
      <w:r w:rsidRPr="00B43796">
        <w:rPr>
          <w:rFonts w:asciiTheme="majorHAnsi" w:hAnsiTheme="majorHAnsi"/>
        </w:rPr>
        <w:t>Unpaid bookings may be released without notice where demand is high</w:t>
      </w:r>
    </w:p>
    <w:p w14:paraId="7791B956" w14:textId="77777777" w:rsidR="009515A2" w:rsidRPr="00AD0AE8" w:rsidRDefault="009515A2" w:rsidP="009515A2">
      <w:pPr>
        <w:rPr>
          <w:rFonts w:asciiTheme="majorHAnsi" w:hAnsiTheme="majorHAnsi"/>
        </w:rPr>
      </w:pPr>
      <w:r w:rsidRPr="00AD0AE8">
        <w:rPr>
          <w:rFonts w:asciiTheme="majorHAnsi" w:hAnsiTheme="majorHAnsi"/>
        </w:rPr>
        <w:t>The Hall reserves the right to:</w:t>
      </w:r>
    </w:p>
    <w:p w14:paraId="2C8004F7" w14:textId="77777777" w:rsidR="009515A2" w:rsidRPr="00AD0AE8" w:rsidRDefault="009515A2" w:rsidP="009515A2">
      <w:pPr>
        <w:numPr>
          <w:ilvl w:val="0"/>
          <w:numId w:val="3"/>
        </w:numPr>
        <w:rPr>
          <w:rFonts w:asciiTheme="majorHAnsi" w:hAnsiTheme="majorHAnsi"/>
        </w:rPr>
      </w:pPr>
      <w:r w:rsidRPr="00AD0AE8">
        <w:rPr>
          <w:rFonts w:asciiTheme="majorHAnsi" w:hAnsiTheme="majorHAnsi"/>
        </w:rPr>
        <w:t xml:space="preserve">cancel any booking where payment is not received by the due date </w:t>
      </w:r>
    </w:p>
    <w:p w14:paraId="464B40C9" w14:textId="77777777" w:rsidR="009515A2" w:rsidRPr="00AD0AE8" w:rsidRDefault="009515A2" w:rsidP="009515A2">
      <w:pPr>
        <w:numPr>
          <w:ilvl w:val="0"/>
          <w:numId w:val="3"/>
        </w:numPr>
        <w:rPr>
          <w:rFonts w:asciiTheme="majorHAnsi" w:hAnsiTheme="majorHAnsi"/>
        </w:rPr>
      </w:pPr>
      <w:r w:rsidRPr="00AD0AE8">
        <w:rPr>
          <w:rFonts w:asciiTheme="majorHAnsi" w:hAnsiTheme="majorHAnsi"/>
        </w:rPr>
        <w:t xml:space="preserve">re-let the Hall without further notice </w:t>
      </w:r>
    </w:p>
    <w:p w14:paraId="02792E0A" w14:textId="77777777" w:rsidR="00F5737D" w:rsidRDefault="00F5737D" w:rsidP="001D2B2A">
      <w:r w:rsidRPr="00F5737D">
        <w:t>No cancellation charges apply where a booking is cancelled prior to payment being received.</w:t>
      </w:r>
    </w:p>
    <w:p w14:paraId="3DEFB608" w14:textId="3AB9BC4A" w:rsidR="009515A2" w:rsidRPr="00AD0AE8" w:rsidRDefault="009515A2" w:rsidP="00F9713D">
      <w:pPr>
        <w:pStyle w:val="Heading3"/>
        <w:pBdr>
          <w:bottom w:val="single" w:sz="12" w:space="1" w:color="156082" w:themeColor="accent1"/>
        </w:pBdr>
      </w:pPr>
      <w:bookmarkStart w:id="3" w:name="_Toc227059499"/>
      <w:r w:rsidRPr="00AD0AE8">
        <w:t>4. Security Deposit – Purpose and Holding</w:t>
      </w:r>
      <w:bookmarkEnd w:id="3"/>
    </w:p>
    <w:p w14:paraId="3027323D" w14:textId="77777777" w:rsidR="009515A2" w:rsidRPr="00AD0AE8" w:rsidRDefault="009515A2" w:rsidP="009515A2">
      <w:pPr>
        <w:rPr>
          <w:rFonts w:asciiTheme="majorHAnsi" w:hAnsiTheme="majorHAnsi"/>
        </w:rPr>
      </w:pPr>
      <w:r w:rsidRPr="00AD0AE8">
        <w:rPr>
          <w:rFonts w:asciiTheme="majorHAnsi" w:hAnsiTheme="majorHAnsi"/>
        </w:rPr>
        <w:t>Where a security deposit is required, it is held as security only and does not form part of the hire fee.</w:t>
      </w:r>
    </w:p>
    <w:p w14:paraId="6ABF2620" w14:textId="77777777" w:rsidR="009515A2" w:rsidRPr="00AD0AE8" w:rsidRDefault="009515A2" w:rsidP="009515A2">
      <w:pPr>
        <w:rPr>
          <w:rFonts w:asciiTheme="majorHAnsi" w:hAnsiTheme="majorHAnsi"/>
        </w:rPr>
      </w:pPr>
      <w:r w:rsidRPr="00AD0AE8">
        <w:rPr>
          <w:rFonts w:asciiTheme="majorHAnsi" w:hAnsiTheme="majorHAnsi"/>
        </w:rPr>
        <w:t>The deposit may be used, in whole or in part, to cover reasonable costs arising from:</w:t>
      </w:r>
    </w:p>
    <w:p w14:paraId="42267CE8" w14:textId="77777777" w:rsidR="009515A2" w:rsidRPr="00AD0AE8" w:rsidRDefault="009515A2" w:rsidP="009515A2">
      <w:pPr>
        <w:numPr>
          <w:ilvl w:val="0"/>
          <w:numId w:val="4"/>
        </w:numPr>
        <w:spacing w:after="0"/>
        <w:rPr>
          <w:rFonts w:asciiTheme="majorHAnsi" w:hAnsiTheme="majorHAnsi"/>
        </w:rPr>
      </w:pPr>
      <w:r w:rsidRPr="00AD0AE8">
        <w:rPr>
          <w:rFonts w:asciiTheme="majorHAnsi" w:hAnsiTheme="majorHAnsi"/>
        </w:rPr>
        <w:t xml:space="preserve">damage to the Hall, its fixtures, fittings, or contents </w:t>
      </w:r>
    </w:p>
    <w:p w14:paraId="59929D9B" w14:textId="77777777" w:rsidR="009515A2" w:rsidRPr="00AD0AE8" w:rsidRDefault="009515A2" w:rsidP="009515A2">
      <w:pPr>
        <w:numPr>
          <w:ilvl w:val="0"/>
          <w:numId w:val="4"/>
        </w:numPr>
        <w:spacing w:after="0"/>
        <w:rPr>
          <w:rFonts w:asciiTheme="majorHAnsi" w:hAnsiTheme="majorHAnsi"/>
        </w:rPr>
      </w:pPr>
      <w:r w:rsidRPr="00AD0AE8">
        <w:rPr>
          <w:rFonts w:asciiTheme="majorHAnsi" w:hAnsiTheme="majorHAnsi"/>
        </w:rPr>
        <w:t xml:space="preserve">additional cleaning requirements beyond normal expectations </w:t>
      </w:r>
    </w:p>
    <w:p w14:paraId="68B52E87" w14:textId="77777777" w:rsidR="009515A2" w:rsidRPr="00AD0AE8" w:rsidRDefault="009515A2" w:rsidP="009515A2">
      <w:pPr>
        <w:numPr>
          <w:ilvl w:val="0"/>
          <w:numId w:val="4"/>
        </w:numPr>
        <w:spacing w:after="0"/>
        <w:rPr>
          <w:rFonts w:asciiTheme="majorHAnsi" w:hAnsiTheme="majorHAnsi"/>
        </w:rPr>
      </w:pPr>
      <w:r w:rsidRPr="00AD0AE8">
        <w:rPr>
          <w:rFonts w:asciiTheme="majorHAnsi" w:hAnsiTheme="majorHAnsi"/>
        </w:rPr>
        <w:t xml:space="preserve">breach of the ACRE Model Standard Conditions of Hire resulting in cost to the Hall </w:t>
      </w:r>
    </w:p>
    <w:p w14:paraId="09C6EE7A" w14:textId="77777777" w:rsidR="009515A2" w:rsidRPr="00AD0AE8" w:rsidRDefault="009515A2" w:rsidP="009515A2">
      <w:pPr>
        <w:numPr>
          <w:ilvl w:val="0"/>
          <w:numId w:val="4"/>
        </w:numPr>
        <w:spacing w:after="0"/>
        <w:rPr>
          <w:rFonts w:asciiTheme="majorHAnsi" w:hAnsiTheme="majorHAnsi"/>
        </w:rPr>
      </w:pPr>
      <w:r w:rsidRPr="00AD0AE8">
        <w:rPr>
          <w:rFonts w:asciiTheme="majorHAnsi" w:hAnsiTheme="majorHAnsi"/>
        </w:rPr>
        <w:t xml:space="preserve">any additional charges properly incurred under this policy </w:t>
      </w:r>
    </w:p>
    <w:p w14:paraId="37D2BF70" w14:textId="77777777" w:rsidR="009515A2" w:rsidRPr="00AD0AE8" w:rsidRDefault="009515A2" w:rsidP="009515A2">
      <w:pPr>
        <w:spacing w:after="0"/>
        <w:ind w:left="720"/>
        <w:rPr>
          <w:rFonts w:asciiTheme="majorHAnsi" w:hAnsiTheme="majorHAnsi"/>
        </w:rPr>
      </w:pPr>
    </w:p>
    <w:p w14:paraId="2FB77458" w14:textId="77777777" w:rsidR="009515A2" w:rsidRPr="00AD0AE8" w:rsidRDefault="009515A2" w:rsidP="009515A2">
      <w:pPr>
        <w:rPr>
          <w:rFonts w:asciiTheme="majorHAnsi" w:hAnsiTheme="majorHAnsi"/>
        </w:rPr>
      </w:pPr>
      <w:r w:rsidRPr="00AD0AE8">
        <w:rPr>
          <w:rFonts w:asciiTheme="majorHAnsi" w:hAnsiTheme="majorHAnsi"/>
        </w:rPr>
        <w:t>The Hall will act reasonably and will base any deductions on actual or reasonably estimated costs.</w:t>
      </w:r>
    </w:p>
    <w:p w14:paraId="2BF72C63" w14:textId="71DC45CC" w:rsidR="009515A2" w:rsidRDefault="009515A2" w:rsidP="009515A2">
      <w:pPr>
        <w:rPr>
          <w:rFonts w:asciiTheme="majorHAnsi" w:hAnsiTheme="majorHAnsi"/>
        </w:rPr>
      </w:pPr>
      <w:r w:rsidRPr="00AD0AE8">
        <w:rPr>
          <w:rFonts w:asciiTheme="majorHAnsi" w:hAnsiTheme="majorHAnsi"/>
        </w:rPr>
        <w:t xml:space="preserve">Deposits will normally be returned </w:t>
      </w:r>
      <w:r w:rsidR="00C1283D" w:rsidRPr="00C1283D">
        <w:rPr>
          <w:rFonts w:asciiTheme="majorHAnsi" w:hAnsiTheme="majorHAnsi"/>
        </w:rPr>
        <w:t>within 7–14 working days</w:t>
      </w:r>
      <w:r w:rsidR="00C1283D">
        <w:rPr>
          <w:rFonts w:asciiTheme="majorHAnsi" w:hAnsiTheme="majorHAnsi"/>
        </w:rPr>
        <w:t xml:space="preserve"> </w:t>
      </w:r>
      <w:r w:rsidRPr="00AD0AE8">
        <w:rPr>
          <w:rFonts w:asciiTheme="majorHAnsi" w:hAnsiTheme="majorHAnsi"/>
        </w:rPr>
        <w:t>of the hire, subject to satisfactory inspection of the premises and confirmation that no deductions are required.</w:t>
      </w:r>
    </w:p>
    <w:p w14:paraId="60F07B7A" w14:textId="77777777" w:rsidR="009515A2" w:rsidRPr="00AD0AE8" w:rsidRDefault="009515A2" w:rsidP="00F9713D">
      <w:pPr>
        <w:pStyle w:val="Heading3"/>
        <w:pBdr>
          <w:bottom w:val="single" w:sz="12" w:space="1" w:color="156082" w:themeColor="accent1"/>
        </w:pBdr>
      </w:pPr>
      <w:bookmarkStart w:id="4" w:name="_Toc227059500"/>
      <w:r w:rsidRPr="00AD0AE8">
        <w:t>5. Classification of Events</w:t>
      </w:r>
      <w:bookmarkEnd w:id="4"/>
    </w:p>
    <w:p w14:paraId="04BDE4CB" w14:textId="77777777" w:rsidR="009515A2" w:rsidRPr="00AD0AE8" w:rsidRDefault="009515A2" w:rsidP="009515A2">
      <w:pPr>
        <w:rPr>
          <w:rFonts w:asciiTheme="majorHAnsi" w:hAnsiTheme="majorHAnsi"/>
        </w:rPr>
      </w:pPr>
      <w:r w:rsidRPr="00AD0AE8">
        <w:rPr>
          <w:rFonts w:asciiTheme="majorHAnsi" w:hAnsiTheme="majorHAnsi"/>
        </w:rPr>
        <w:t>The Trustees may classify events by risk and may apply different deposit or payment requirements accordingly. Classification will be confirmed at the time of booking.</w:t>
      </w:r>
    </w:p>
    <w:p w14:paraId="03FF01B0" w14:textId="77777777" w:rsidR="009515A2" w:rsidRPr="00AD0AE8" w:rsidRDefault="009515A2" w:rsidP="00861909">
      <w:pPr>
        <w:pStyle w:val="Heading4"/>
      </w:pPr>
      <w:bookmarkStart w:id="5" w:name="_Toc227059501"/>
      <w:r w:rsidRPr="00AD0AE8">
        <w:lastRenderedPageBreak/>
        <w:t>5.1 Children’s Parties and Low-Risk Events</w:t>
      </w:r>
      <w:bookmarkEnd w:id="5"/>
    </w:p>
    <w:p w14:paraId="4EC97005" w14:textId="77777777" w:rsidR="00D10D84" w:rsidRPr="00D10D84" w:rsidRDefault="00D10D84" w:rsidP="00D10D84">
      <w:pPr>
        <w:numPr>
          <w:ilvl w:val="0"/>
          <w:numId w:val="17"/>
        </w:numPr>
        <w:rPr>
          <w:rFonts w:asciiTheme="majorHAnsi" w:hAnsiTheme="majorHAnsi"/>
        </w:rPr>
      </w:pPr>
      <w:r w:rsidRPr="00D10D84">
        <w:rPr>
          <w:rFonts w:asciiTheme="majorHAnsi" w:hAnsiTheme="majorHAnsi"/>
        </w:rPr>
        <w:t xml:space="preserve">A security deposit is not normally required. </w:t>
      </w:r>
    </w:p>
    <w:p w14:paraId="20DB593E" w14:textId="77777777" w:rsidR="00D10D84" w:rsidRPr="00D10D84" w:rsidRDefault="00D10D84" w:rsidP="00D10D84">
      <w:pPr>
        <w:numPr>
          <w:ilvl w:val="0"/>
          <w:numId w:val="17"/>
        </w:numPr>
        <w:rPr>
          <w:rFonts w:asciiTheme="majorHAnsi" w:hAnsiTheme="majorHAnsi"/>
        </w:rPr>
      </w:pPr>
      <w:r w:rsidRPr="00D10D84">
        <w:rPr>
          <w:rFonts w:asciiTheme="majorHAnsi" w:hAnsiTheme="majorHAnsi"/>
        </w:rPr>
        <w:t xml:space="preserve">The full hire fee is payable within 14 days of invoice (or immediately if the booking is made less than 14 days before the hire date). </w:t>
      </w:r>
    </w:p>
    <w:p w14:paraId="4A8CC3D3" w14:textId="77777777" w:rsidR="007C4128" w:rsidRPr="007C4128" w:rsidRDefault="007C4128" w:rsidP="007C4128">
      <w:pPr>
        <w:rPr>
          <w:rFonts w:asciiTheme="majorHAnsi" w:hAnsiTheme="majorHAnsi"/>
          <w:b/>
          <w:bCs/>
        </w:rPr>
      </w:pPr>
      <w:r w:rsidRPr="007C4128">
        <w:rPr>
          <w:rFonts w:asciiTheme="majorHAnsi" w:hAnsiTheme="majorHAnsi"/>
          <w:b/>
          <w:bCs/>
        </w:rPr>
        <w:t>Cancellation (before payment)</w:t>
      </w:r>
    </w:p>
    <w:p w14:paraId="0F7A160F" w14:textId="77777777" w:rsidR="00D10D84" w:rsidRPr="00D10D84" w:rsidRDefault="00D10D84" w:rsidP="00D10D84">
      <w:pPr>
        <w:numPr>
          <w:ilvl w:val="0"/>
          <w:numId w:val="18"/>
        </w:numPr>
        <w:rPr>
          <w:rFonts w:asciiTheme="majorHAnsi" w:hAnsiTheme="majorHAnsi"/>
        </w:rPr>
      </w:pPr>
      <w:r w:rsidRPr="00D10D84">
        <w:rPr>
          <w:rFonts w:asciiTheme="majorHAnsi" w:hAnsiTheme="majorHAnsi"/>
        </w:rPr>
        <w:t xml:space="preserve">The booking may be cancelled without charge. </w:t>
      </w:r>
    </w:p>
    <w:p w14:paraId="486D75F3" w14:textId="77777777" w:rsidR="007C4128" w:rsidRPr="007C4128" w:rsidRDefault="007C4128" w:rsidP="007C4128">
      <w:pPr>
        <w:rPr>
          <w:rFonts w:asciiTheme="majorHAnsi" w:hAnsiTheme="majorHAnsi"/>
          <w:b/>
          <w:bCs/>
        </w:rPr>
      </w:pPr>
      <w:r w:rsidRPr="007C4128">
        <w:rPr>
          <w:rFonts w:asciiTheme="majorHAnsi" w:hAnsiTheme="majorHAnsi"/>
          <w:b/>
          <w:bCs/>
        </w:rPr>
        <w:t>Cancellation (after payment of hire fee)</w:t>
      </w:r>
    </w:p>
    <w:p w14:paraId="5DBCE213" w14:textId="77777777" w:rsidR="00D10D84" w:rsidRPr="00D10D84" w:rsidRDefault="00D10D84" w:rsidP="00D10D84">
      <w:pPr>
        <w:numPr>
          <w:ilvl w:val="0"/>
          <w:numId w:val="19"/>
        </w:numPr>
        <w:rPr>
          <w:rFonts w:asciiTheme="majorHAnsi" w:hAnsiTheme="majorHAnsi"/>
        </w:rPr>
      </w:pPr>
      <w:r w:rsidRPr="00D10D84">
        <w:rPr>
          <w:rFonts w:asciiTheme="majorHAnsi" w:hAnsiTheme="majorHAnsi"/>
        </w:rPr>
        <w:t xml:space="preserve">A £20 administration fee will normally apply. </w:t>
      </w:r>
    </w:p>
    <w:p w14:paraId="3239D9C8" w14:textId="77777777" w:rsidR="00D10D84" w:rsidRPr="00D10D84" w:rsidRDefault="00D10D84" w:rsidP="00D10D84">
      <w:pPr>
        <w:numPr>
          <w:ilvl w:val="0"/>
          <w:numId w:val="19"/>
        </w:numPr>
        <w:rPr>
          <w:rFonts w:asciiTheme="majorHAnsi" w:hAnsiTheme="majorHAnsi"/>
        </w:rPr>
      </w:pPr>
      <w:r w:rsidRPr="00D10D84">
        <w:rPr>
          <w:rFonts w:asciiTheme="majorHAnsi" w:hAnsiTheme="majorHAnsi"/>
        </w:rPr>
        <w:t>Where the Hall is re-let for the same period, the Trustees may waive or reduce the administration fee at their discretion.</w:t>
      </w:r>
    </w:p>
    <w:p w14:paraId="4898F69F" w14:textId="77777777" w:rsidR="009515A2" w:rsidRPr="00AD0AE8" w:rsidRDefault="009515A2" w:rsidP="00861909">
      <w:pPr>
        <w:pStyle w:val="Heading4"/>
      </w:pPr>
      <w:bookmarkStart w:id="6" w:name="_Toc227059502"/>
      <w:r w:rsidRPr="00AD0AE8">
        <w:t>5.2 Adult Parties and Standard Events</w:t>
      </w:r>
      <w:bookmarkEnd w:id="6"/>
    </w:p>
    <w:p w14:paraId="2F3A163E" w14:textId="77777777" w:rsidR="009515A2" w:rsidRPr="00AD0AE8" w:rsidRDefault="009515A2" w:rsidP="009515A2">
      <w:pPr>
        <w:numPr>
          <w:ilvl w:val="0"/>
          <w:numId w:val="6"/>
        </w:numPr>
        <w:rPr>
          <w:rFonts w:asciiTheme="majorHAnsi" w:hAnsiTheme="majorHAnsi"/>
        </w:rPr>
      </w:pPr>
      <w:r w:rsidRPr="00AD0AE8">
        <w:rPr>
          <w:rFonts w:asciiTheme="majorHAnsi" w:hAnsiTheme="majorHAnsi"/>
        </w:rPr>
        <w:t xml:space="preserve">Standard deposit: £100 (or as otherwise notified at booking) </w:t>
      </w:r>
    </w:p>
    <w:p w14:paraId="62741240" w14:textId="77777777" w:rsidR="009515A2" w:rsidRPr="00AD0AE8" w:rsidRDefault="009515A2" w:rsidP="009515A2">
      <w:pPr>
        <w:numPr>
          <w:ilvl w:val="0"/>
          <w:numId w:val="6"/>
        </w:numPr>
        <w:rPr>
          <w:rFonts w:asciiTheme="majorHAnsi" w:hAnsiTheme="majorHAnsi"/>
        </w:rPr>
      </w:pPr>
      <w:r w:rsidRPr="00AD0AE8">
        <w:rPr>
          <w:rFonts w:asciiTheme="majorHAnsi" w:hAnsiTheme="majorHAnsi"/>
        </w:rPr>
        <w:t xml:space="preserve">Hire fee and deposit payable within 14 days of booking confirmation </w:t>
      </w:r>
    </w:p>
    <w:p w14:paraId="4C3D3771" w14:textId="77777777" w:rsidR="00835C16" w:rsidRDefault="00835C16" w:rsidP="009515A2">
      <w:pPr>
        <w:rPr>
          <w:rFonts w:asciiTheme="majorHAnsi" w:hAnsiTheme="majorHAnsi"/>
          <w:b/>
          <w:bCs/>
        </w:rPr>
      </w:pPr>
      <w:r w:rsidRPr="00835C16">
        <w:rPr>
          <w:rFonts w:asciiTheme="majorHAnsi" w:hAnsiTheme="majorHAnsi"/>
          <w:b/>
          <w:bCs/>
        </w:rPr>
        <w:t>Cancellation (before payment)</w:t>
      </w:r>
    </w:p>
    <w:p w14:paraId="623B56F4" w14:textId="3334F913" w:rsidR="00010D6C" w:rsidRPr="00010D6C" w:rsidRDefault="00010D6C" w:rsidP="00010D6C">
      <w:pPr>
        <w:numPr>
          <w:ilvl w:val="0"/>
          <w:numId w:val="6"/>
        </w:numPr>
        <w:rPr>
          <w:rFonts w:asciiTheme="majorHAnsi" w:hAnsiTheme="majorHAnsi"/>
        </w:rPr>
      </w:pPr>
      <w:r w:rsidRPr="00010D6C">
        <w:rPr>
          <w:rFonts w:asciiTheme="majorHAnsi" w:hAnsiTheme="majorHAnsi"/>
        </w:rPr>
        <w:t xml:space="preserve">Bookings may be cancelled without charge </w:t>
      </w:r>
    </w:p>
    <w:p w14:paraId="5FBDAB9F" w14:textId="3A452B0F" w:rsidR="00010D6C" w:rsidRPr="00010D6C" w:rsidRDefault="00010D6C" w:rsidP="00010D6C">
      <w:pPr>
        <w:numPr>
          <w:ilvl w:val="0"/>
          <w:numId w:val="6"/>
        </w:numPr>
        <w:rPr>
          <w:rFonts w:asciiTheme="majorHAnsi" w:hAnsiTheme="majorHAnsi"/>
        </w:rPr>
      </w:pPr>
      <w:r w:rsidRPr="00010D6C">
        <w:rPr>
          <w:rFonts w:asciiTheme="majorHAnsi" w:hAnsiTheme="majorHAnsi"/>
        </w:rPr>
        <w:t>The Trustees reserve the right to release unpaid bookings if payment is not received within the required timeframe</w:t>
      </w:r>
    </w:p>
    <w:p w14:paraId="3DBCFBA5" w14:textId="77777777" w:rsidR="00167DC7" w:rsidRPr="00167DC7" w:rsidRDefault="00167DC7" w:rsidP="00167DC7">
      <w:pPr>
        <w:rPr>
          <w:rFonts w:asciiTheme="majorHAnsi" w:hAnsiTheme="majorHAnsi"/>
          <w:b/>
          <w:bCs/>
        </w:rPr>
      </w:pPr>
      <w:r w:rsidRPr="00167DC7">
        <w:rPr>
          <w:rFonts w:asciiTheme="majorHAnsi" w:hAnsiTheme="majorHAnsi"/>
          <w:b/>
          <w:bCs/>
        </w:rPr>
        <w:t>Cancellation (after payment of hire fee)</w:t>
      </w:r>
    </w:p>
    <w:p w14:paraId="160EBDC3" w14:textId="77777777" w:rsidR="00167DC7" w:rsidRPr="00167DC7" w:rsidRDefault="00167DC7" w:rsidP="00167DC7">
      <w:pPr>
        <w:rPr>
          <w:rFonts w:asciiTheme="majorHAnsi" w:hAnsiTheme="majorHAnsi"/>
        </w:rPr>
      </w:pPr>
      <w:r w:rsidRPr="00167DC7">
        <w:rPr>
          <w:rFonts w:asciiTheme="majorHAnsi" w:hAnsiTheme="majorHAnsi"/>
        </w:rPr>
        <w:t>More than 28 days before hire date:</w:t>
      </w:r>
    </w:p>
    <w:p w14:paraId="4E92ACFE" w14:textId="77777777" w:rsidR="00167DC7" w:rsidRPr="00167DC7" w:rsidRDefault="00167DC7" w:rsidP="00167DC7">
      <w:pPr>
        <w:numPr>
          <w:ilvl w:val="0"/>
          <w:numId w:val="21"/>
        </w:numPr>
        <w:rPr>
          <w:rFonts w:asciiTheme="majorHAnsi" w:hAnsiTheme="majorHAnsi"/>
        </w:rPr>
      </w:pPr>
      <w:r w:rsidRPr="00167DC7">
        <w:rPr>
          <w:rFonts w:asciiTheme="majorHAnsi" w:hAnsiTheme="majorHAnsi"/>
        </w:rPr>
        <w:t xml:space="preserve">Full refund less £20 administration fee </w:t>
      </w:r>
    </w:p>
    <w:p w14:paraId="6C036D3A" w14:textId="77777777" w:rsidR="00167DC7" w:rsidRPr="00167DC7" w:rsidRDefault="00167DC7" w:rsidP="00167DC7">
      <w:pPr>
        <w:rPr>
          <w:rFonts w:asciiTheme="majorHAnsi" w:hAnsiTheme="majorHAnsi"/>
        </w:rPr>
      </w:pPr>
      <w:r w:rsidRPr="00167DC7">
        <w:rPr>
          <w:rFonts w:asciiTheme="majorHAnsi" w:hAnsiTheme="majorHAnsi"/>
        </w:rPr>
        <w:t>14–28 days before hire date:</w:t>
      </w:r>
    </w:p>
    <w:p w14:paraId="5A824BEB" w14:textId="77777777" w:rsidR="00167DC7" w:rsidRPr="00167DC7" w:rsidRDefault="00167DC7" w:rsidP="00167DC7">
      <w:pPr>
        <w:numPr>
          <w:ilvl w:val="0"/>
          <w:numId w:val="22"/>
        </w:numPr>
        <w:rPr>
          <w:rFonts w:asciiTheme="majorHAnsi" w:hAnsiTheme="majorHAnsi"/>
        </w:rPr>
      </w:pPr>
      <w:r w:rsidRPr="00167DC7">
        <w:rPr>
          <w:rFonts w:asciiTheme="majorHAnsi" w:hAnsiTheme="majorHAnsi"/>
        </w:rPr>
        <w:t xml:space="preserve">50% of hire fee refunded (subject to re-letting) </w:t>
      </w:r>
    </w:p>
    <w:p w14:paraId="53A76E55" w14:textId="77777777" w:rsidR="00167DC7" w:rsidRPr="00167DC7" w:rsidRDefault="00167DC7" w:rsidP="00167DC7">
      <w:pPr>
        <w:rPr>
          <w:rFonts w:asciiTheme="majorHAnsi" w:hAnsiTheme="majorHAnsi"/>
        </w:rPr>
      </w:pPr>
      <w:r w:rsidRPr="00167DC7">
        <w:rPr>
          <w:rFonts w:asciiTheme="majorHAnsi" w:hAnsiTheme="majorHAnsi"/>
        </w:rPr>
        <w:t>Less than 14 days before hire date:</w:t>
      </w:r>
    </w:p>
    <w:p w14:paraId="5940854C" w14:textId="77777777" w:rsidR="00167DC7" w:rsidRPr="00167DC7" w:rsidRDefault="00167DC7" w:rsidP="00167DC7">
      <w:pPr>
        <w:numPr>
          <w:ilvl w:val="0"/>
          <w:numId w:val="23"/>
        </w:numPr>
        <w:rPr>
          <w:rFonts w:asciiTheme="majorHAnsi" w:hAnsiTheme="majorHAnsi"/>
        </w:rPr>
      </w:pPr>
      <w:r w:rsidRPr="00167DC7">
        <w:rPr>
          <w:rFonts w:asciiTheme="majorHAnsi" w:hAnsiTheme="majorHAnsi"/>
        </w:rPr>
        <w:t>No refund</w:t>
      </w:r>
    </w:p>
    <w:p w14:paraId="373172E4" w14:textId="77777777" w:rsidR="00393C26" w:rsidRPr="001E2024" w:rsidRDefault="00393C26" w:rsidP="001E2024">
      <w:pPr>
        <w:rPr>
          <w:b/>
          <w:bCs/>
        </w:rPr>
      </w:pPr>
      <w:r w:rsidRPr="001E2024">
        <w:rPr>
          <w:b/>
          <w:bCs/>
        </w:rPr>
        <w:t>Re-letting provision</w:t>
      </w:r>
    </w:p>
    <w:p w14:paraId="7F116380" w14:textId="0BF3D9A1" w:rsidR="00393C26" w:rsidRDefault="00393C26" w:rsidP="00393C26">
      <w:pPr>
        <w:pStyle w:val="NormalWeb"/>
        <w:rPr>
          <w:rFonts w:asciiTheme="majorHAnsi" w:eastAsiaTheme="minorHAnsi" w:hAnsiTheme="majorHAnsi" w:cstheme="minorBidi"/>
          <w:kern w:val="2"/>
          <w:sz w:val="22"/>
          <w:szCs w:val="22"/>
          <w:lang w:eastAsia="en-US"/>
          <w14:ligatures w14:val="standardContextual"/>
        </w:rPr>
      </w:pPr>
      <w:r w:rsidRPr="00393C26">
        <w:rPr>
          <w:rFonts w:asciiTheme="majorHAnsi" w:eastAsiaTheme="minorHAnsi" w:hAnsiTheme="majorHAnsi" w:cstheme="minorBidi"/>
          <w:kern w:val="2"/>
          <w:sz w:val="22"/>
          <w:szCs w:val="22"/>
          <w:lang w:eastAsia="en-US"/>
          <w14:ligatures w14:val="standardContextual"/>
        </w:rPr>
        <w:t xml:space="preserve">Where the Hall is re-let for the same period, the Trustees may, </w:t>
      </w:r>
      <w:r w:rsidR="00242D80" w:rsidRPr="00242D80">
        <w:rPr>
          <w:rFonts w:asciiTheme="majorHAnsi" w:eastAsiaTheme="minorHAnsi" w:hAnsiTheme="majorHAnsi" w:cstheme="minorBidi"/>
          <w:kern w:val="2"/>
          <w:sz w:val="22"/>
          <w:szCs w:val="22"/>
          <w:lang w:eastAsia="en-US"/>
          <w14:ligatures w14:val="standardContextual"/>
        </w:rPr>
        <w:t>at their discretion, vary the refund to reflect the actual loss incurred</w:t>
      </w:r>
    </w:p>
    <w:p w14:paraId="745A8A94" w14:textId="25A0E54F" w:rsidR="003D1C60" w:rsidRPr="003D1C60" w:rsidRDefault="003D1C60" w:rsidP="00393C26">
      <w:pPr>
        <w:pStyle w:val="NormalWeb"/>
        <w:rPr>
          <w:rFonts w:asciiTheme="majorHAnsi" w:eastAsiaTheme="minorHAnsi" w:hAnsiTheme="majorHAnsi" w:cstheme="minorBidi"/>
          <w:b/>
          <w:bCs/>
          <w:kern w:val="2"/>
          <w:sz w:val="22"/>
          <w:szCs w:val="22"/>
          <w:lang w:eastAsia="en-US"/>
          <w14:ligatures w14:val="standardContextual"/>
        </w:rPr>
      </w:pPr>
      <w:r w:rsidRPr="003D1C60">
        <w:rPr>
          <w:rFonts w:asciiTheme="majorHAnsi" w:eastAsiaTheme="minorHAnsi" w:hAnsiTheme="majorHAnsi" w:cstheme="minorBidi"/>
          <w:b/>
          <w:bCs/>
          <w:kern w:val="2"/>
          <w:sz w:val="22"/>
          <w:szCs w:val="22"/>
          <w:lang w:eastAsia="en-US"/>
          <w14:ligatures w14:val="standardContextual"/>
        </w:rPr>
        <w:t>Administration fee</w:t>
      </w:r>
    </w:p>
    <w:p w14:paraId="15689A20" w14:textId="121F9321" w:rsidR="009515A2" w:rsidRDefault="009515A2" w:rsidP="009515A2">
      <w:pPr>
        <w:rPr>
          <w:rFonts w:asciiTheme="majorHAnsi" w:hAnsiTheme="majorHAnsi"/>
        </w:rPr>
      </w:pPr>
      <w:r w:rsidRPr="00AD0AE8">
        <w:rPr>
          <w:rFonts w:asciiTheme="majorHAnsi" w:hAnsiTheme="majorHAnsi"/>
        </w:rPr>
        <w:t>A £20 administration fee applies to all cancellations after payment unless waived at the Trustees’ discretion where the Hall is re-let.</w:t>
      </w:r>
    </w:p>
    <w:p w14:paraId="68ED6DA7" w14:textId="77777777" w:rsidR="009515A2" w:rsidRPr="00AD0AE8" w:rsidRDefault="009515A2" w:rsidP="00861909">
      <w:pPr>
        <w:pStyle w:val="Heading4"/>
      </w:pPr>
      <w:bookmarkStart w:id="7" w:name="_Toc227059503"/>
      <w:r w:rsidRPr="00AD0AE8">
        <w:t>5.3 Higher-Risk or Large Events</w:t>
      </w:r>
      <w:bookmarkEnd w:id="7"/>
    </w:p>
    <w:p w14:paraId="77948A10" w14:textId="77777777" w:rsidR="009515A2" w:rsidRPr="00AD0AE8" w:rsidRDefault="009515A2" w:rsidP="009515A2">
      <w:pPr>
        <w:rPr>
          <w:rFonts w:asciiTheme="majorHAnsi" w:hAnsiTheme="majorHAnsi"/>
        </w:rPr>
      </w:pPr>
      <w:r w:rsidRPr="00AD0AE8">
        <w:rPr>
          <w:rFonts w:asciiTheme="majorHAnsi" w:hAnsiTheme="majorHAnsi"/>
        </w:rPr>
        <w:t>The Trustees may require:</w:t>
      </w:r>
    </w:p>
    <w:p w14:paraId="18818552" w14:textId="77777777" w:rsidR="009515A2" w:rsidRPr="00AD0AE8" w:rsidRDefault="009515A2" w:rsidP="009515A2">
      <w:pPr>
        <w:numPr>
          <w:ilvl w:val="0"/>
          <w:numId w:val="8"/>
        </w:numPr>
        <w:spacing w:after="0"/>
        <w:rPr>
          <w:rFonts w:asciiTheme="majorHAnsi" w:hAnsiTheme="majorHAnsi"/>
        </w:rPr>
      </w:pPr>
      <w:r w:rsidRPr="00AD0AE8">
        <w:rPr>
          <w:rFonts w:asciiTheme="majorHAnsi" w:hAnsiTheme="majorHAnsi"/>
        </w:rPr>
        <w:t xml:space="preserve">an increased deposit </w:t>
      </w:r>
    </w:p>
    <w:p w14:paraId="3BE457DB" w14:textId="77777777" w:rsidR="009515A2" w:rsidRPr="00AD0AE8" w:rsidRDefault="009515A2" w:rsidP="009515A2">
      <w:pPr>
        <w:numPr>
          <w:ilvl w:val="0"/>
          <w:numId w:val="8"/>
        </w:numPr>
        <w:spacing w:after="0"/>
        <w:rPr>
          <w:rFonts w:asciiTheme="majorHAnsi" w:hAnsiTheme="majorHAnsi"/>
        </w:rPr>
      </w:pPr>
      <w:r w:rsidRPr="00AD0AE8">
        <w:rPr>
          <w:rFonts w:asciiTheme="majorHAnsi" w:hAnsiTheme="majorHAnsi"/>
        </w:rPr>
        <w:t xml:space="preserve">additional conditions of hire </w:t>
      </w:r>
    </w:p>
    <w:p w14:paraId="420B47D2" w14:textId="77777777" w:rsidR="009515A2" w:rsidRPr="00AD0AE8" w:rsidRDefault="009515A2" w:rsidP="009515A2">
      <w:pPr>
        <w:numPr>
          <w:ilvl w:val="0"/>
          <w:numId w:val="8"/>
        </w:numPr>
        <w:spacing w:after="0"/>
        <w:rPr>
          <w:rFonts w:asciiTheme="majorHAnsi" w:hAnsiTheme="majorHAnsi"/>
        </w:rPr>
      </w:pPr>
      <w:r w:rsidRPr="00AD0AE8">
        <w:rPr>
          <w:rFonts w:asciiTheme="majorHAnsi" w:hAnsiTheme="majorHAnsi"/>
        </w:rPr>
        <w:lastRenderedPageBreak/>
        <w:t xml:space="preserve">earlier payment terms </w:t>
      </w:r>
    </w:p>
    <w:p w14:paraId="0F798663" w14:textId="77777777" w:rsidR="009515A2" w:rsidRPr="00AD0AE8" w:rsidRDefault="009515A2" w:rsidP="009515A2">
      <w:pPr>
        <w:spacing w:after="0"/>
        <w:ind w:left="720"/>
        <w:rPr>
          <w:rFonts w:asciiTheme="majorHAnsi" w:hAnsiTheme="majorHAnsi"/>
        </w:rPr>
      </w:pPr>
    </w:p>
    <w:p w14:paraId="36FBFCE2" w14:textId="73A4B4E8" w:rsidR="009515A2" w:rsidRDefault="009515A2" w:rsidP="009515A2">
      <w:pPr>
        <w:rPr>
          <w:rFonts w:asciiTheme="majorHAnsi" w:hAnsiTheme="majorHAnsi"/>
        </w:rPr>
      </w:pPr>
      <w:r w:rsidRPr="00AD0AE8">
        <w:rPr>
          <w:rFonts w:asciiTheme="majorHAnsi" w:hAnsiTheme="majorHAnsi"/>
        </w:rPr>
        <w:t>Any such requirements will be confirmed in writing at the time of booking and will be proportionate to the nature and level of risk associated with the event.</w:t>
      </w:r>
    </w:p>
    <w:p w14:paraId="7C213F71" w14:textId="77777777" w:rsidR="009515A2" w:rsidRPr="008A11F6" w:rsidRDefault="009515A2" w:rsidP="00F9713D">
      <w:pPr>
        <w:pStyle w:val="Heading3"/>
        <w:pBdr>
          <w:bottom w:val="single" w:sz="12" w:space="1" w:color="156082" w:themeColor="accent1"/>
        </w:pBdr>
      </w:pPr>
      <w:bookmarkStart w:id="8" w:name="_Toc227059504"/>
      <w:r w:rsidRPr="008A11F6">
        <w:t>6. Condition of Hall and Additional Charges</w:t>
      </w:r>
      <w:bookmarkEnd w:id="8"/>
    </w:p>
    <w:p w14:paraId="228BCDFC" w14:textId="77777777" w:rsidR="009515A2" w:rsidRPr="00AD0AE8" w:rsidRDefault="009515A2" w:rsidP="009515A2">
      <w:pPr>
        <w:rPr>
          <w:rFonts w:asciiTheme="majorHAnsi" w:hAnsiTheme="majorHAnsi"/>
        </w:rPr>
      </w:pPr>
      <w:r w:rsidRPr="00AD0AE8">
        <w:rPr>
          <w:rFonts w:asciiTheme="majorHAnsi" w:hAnsiTheme="majorHAnsi"/>
        </w:rPr>
        <w:t>The Hirer is responsible for leaving the Hall in a clean, tidy, and secure condition in accordance with the ACRE Model Standard Conditions of Hire and any Hall User Guide.</w:t>
      </w:r>
    </w:p>
    <w:p w14:paraId="686A00CE" w14:textId="77777777" w:rsidR="009515A2" w:rsidRPr="00AD0AE8" w:rsidRDefault="009515A2" w:rsidP="009515A2">
      <w:pPr>
        <w:rPr>
          <w:rFonts w:asciiTheme="majorHAnsi" w:hAnsiTheme="majorHAnsi"/>
        </w:rPr>
      </w:pPr>
      <w:r w:rsidRPr="00AD0AE8">
        <w:rPr>
          <w:rFonts w:asciiTheme="majorHAnsi" w:hAnsiTheme="majorHAnsi"/>
        </w:rPr>
        <w:t>The Hirer may be charged for reasonable costs arising from:</w:t>
      </w:r>
    </w:p>
    <w:p w14:paraId="45ADCAE2" w14:textId="77777777" w:rsidR="009515A2" w:rsidRPr="00AD0AE8" w:rsidRDefault="009515A2" w:rsidP="009515A2">
      <w:pPr>
        <w:numPr>
          <w:ilvl w:val="0"/>
          <w:numId w:val="9"/>
        </w:numPr>
        <w:spacing w:after="0"/>
        <w:rPr>
          <w:rFonts w:asciiTheme="majorHAnsi" w:hAnsiTheme="majorHAnsi"/>
        </w:rPr>
      </w:pPr>
      <w:r w:rsidRPr="00AD0AE8">
        <w:rPr>
          <w:rFonts w:asciiTheme="majorHAnsi" w:hAnsiTheme="majorHAnsi"/>
        </w:rPr>
        <w:t xml:space="preserve">additional cleaning </w:t>
      </w:r>
    </w:p>
    <w:p w14:paraId="374D1718" w14:textId="77777777" w:rsidR="009515A2" w:rsidRPr="00AD0AE8" w:rsidRDefault="009515A2" w:rsidP="009515A2">
      <w:pPr>
        <w:numPr>
          <w:ilvl w:val="0"/>
          <w:numId w:val="9"/>
        </w:numPr>
        <w:spacing w:after="0"/>
        <w:rPr>
          <w:rFonts w:asciiTheme="majorHAnsi" w:hAnsiTheme="majorHAnsi"/>
        </w:rPr>
      </w:pPr>
      <w:r w:rsidRPr="00AD0AE8">
        <w:rPr>
          <w:rFonts w:asciiTheme="majorHAnsi" w:hAnsiTheme="majorHAnsi"/>
        </w:rPr>
        <w:t xml:space="preserve">waste removal beyond normal use </w:t>
      </w:r>
    </w:p>
    <w:p w14:paraId="237BC924" w14:textId="77777777" w:rsidR="009515A2" w:rsidRPr="00AD0AE8" w:rsidRDefault="009515A2" w:rsidP="009515A2">
      <w:pPr>
        <w:numPr>
          <w:ilvl w:val="0"/>
          <w:numId w:val="9"/>
        </w:numPr>
        <w:spacing w:after="0"/>
        <w:rPr>
          <w:rFonts w:asciiTheme="majorHAnsi" w:hAnsiTheme="majorHAnsi"/>
        </w:rPr>
      </w:pPr>
      <w:r w:rsidRPr="00AD0AE8">
        <w:rPr>
          <w:rFonts w:asciiTheme="majorHAnsi" w:hAnsiTheme="majorHAnsi"/>
        </w:rPr>
        <w:t xml:space="preserve">repair or replacement of damaged property </w:t>
      </w:r>
    </w:p>
    <w:p w14:paraId="5EE02040" w14:textId="77777777" w:rsidR="009515A2" w:rsidRPr="00AD0AE8" w:rsidRDefault="009515A2" w:rsidP="009515A2">
      <w:pPr>
        <w:numPr>
          <w:ilvl w:val="0"/>
          <w:numId w:val="9"/>
        </w:numPr>
        <w:spacing w:after="0"/>
        <w:rPr>
          <w:rFonts w:asciiTheme="majorHAnsi" w:hAnsiTheme="majorHAnsi"/>
        </w:rPr>
      </w:pPr>
      <w:r w:rsidRPr="00AD0AE8">
        <w:rPr>
          <w:rFonts w:asciiTheme="majorHAnsi" w:hAnsiTheme="majorHAnsi"/>
        </w:rPr>
        <w:t xml:space="preserve">use of the Hall beyond the agreed hire period </w:t>
      </w:r>
    </w:p>
    <w:p w14:paraId="6BA88F52" w14:textId="77777777" w:rsidR="00BC6B70" w:rsidRDefault="00BC6B70" w:rsidP="009515A2">
      <w:pPr>
        <w:numPr>
          <w:ilvl w:val="0"/>
          <w:numId w:val="9"/>
        </w:numPr>
        <w:spacing w:after="0"/>
        <w:rPr>
          <w:rFonts w:asciiTheme="majorHAnsi" w:hAnsiTheme="majorHAnsi"/>
        </w:rPr>
      </w:pPr>
      <w:r w:rsidRPr="00BC6B70">
        <w:rPr>
          <w:rFonts w:asciiTheme="majorHAnsi" w:hAnsiTheme="majorHAnsi"/>
        </w:rPr>
        <w:t>loss of keys and any resulting replacement or security costs</w:t>
      </w:r>
    </w:p>
    <w:p w14:paraId="1E767B6F" w14:textId="5E728D6E" w:rsidR="009515A2" w:rsidRPr="00AD0AE8" w:rsidRDefault="009515A2" w:rsidP="009515A2">
      <w:pPr>
        <w:numPr>
          <w:ilvl w:val="0"/>
          <w:numId w:val="9"/>
        </w:numPr>
        <w:spacing w:after="0"/>
        <w:rPr>
          <w:rFonts w:asciiTheme="majorHAnsi" w:hAnsiTheme="majorHAnsi"/>
        </w:rPr>
      </w:pPr>
      <w:r w:rsidRPr="00AD0AE8">
        <w:rPr>
          <w:rFonts w:asciiTheme="majorHAnsi" w:hAnsiTheme="majorHAnsi"/>
        </w:rPr>
        <w:t xml:space="preserve">any breach of hire conditions that results in additional cost </w:t>
      </w:r>
    </w:p>
    <w:p w14:paraId="794485AC" w14:textId="77777777" w:rsidR="009515A2" w:rsidRPr="00AD0AE8" w:rsidRDefault="009515A2" w:rsidP="00457A7F">
      <w:pPr>
        <w:spacing w:after="0"/>
        <w:ind w:left="720"/>
        <w:rPr>
          <w:rFonts w:asciiTheme="majorHAnsi" w:hAnsiTheme="majorHAnsi"/>
        </w:rPr>
      </w:pPr>
    </w:p>
    <w:p w14:paraId="426A06AC" w14:textId="77777777" w:rsidR="009515A2" w:rsidRDefault="009515A2" w:rsidP="009515A2">
      <w:pPr>
        <w:rPr>
          <w:rFonts w:asciiTheme="majorHAnsi" w:hAnsiTheme="majorHAnsi"/>
        </w:rPr>
      </w:pPr>
      <w:r w:rsidRPr="00AD0AE8">
        <w:rPr>
          <w:rFonts w:asciiTheme="majorHAnsi" w:hAnsiTheme="majorHAnsi"/>
        </w:rPr>
        <w:t>All charges will be based on actual or reasonably estimated costs incurred by the Hall.</w:t>
      </w:r>
    </w:p>
    <w:p w14:paraId="20CEB384" w14:textId="21E33D5B" w:rsidR="005A714E" w:rsidRDefault="005A714E" w:rsidP="009515A2">
      <w:pPr>
        <w:rPr>
          <w:rFonts w:asciiTheme="majorHAnsi" w:hAnsiTheme="majorHAnsi"/>
        </w:rPr>
      </w:pPr>
      <w:r w:rsidRPr="005A714E">
        <w:rPr>
          <w:rFonts w:asciiTheme="majorHAnsi" w:hAnsiTheme="majorHAnsi"/>
        </w:rPr>
        <w:t>The Hall may keep records of the condition of the premises following hire, including photographs where appropriate, to help ensure the hall is maintained for all users.</w:t>
      </w:r>
    </w:p>
    <w:p w14:paraId="1B71021A" w14:textId="77777777" w:rsidR="009515A2" w:rsidRPr="00AD0AE8" w:rsidRDefault="009515A2" w:rsidP="00F9713D">
      <w:pPr>
        <w:pStyle w:val="Heading3"/>
        <w:pBdr>
          <w:bottom w:val="single" w:sz="12" w:space="1" w:color="156082" w:themeColor="accent1"/>
        </w:pBdr>
      </w:pPr>
      <w:bookmarkStart w:id="9" w:name="_Toc227059505"/>
      <w:r w:rsidRPr="00AD0AE8">
        <w:t>7. Use of Deposit</w:t>
      </w:r>
      <w:bookmarkEnd w:id="9"/>
    </w:p>
    <w:p w14:paraId="596A50D2" w14:textId="77777777" w:rsidR="009515A2" w:rsidRPr="00AD0AE8" w:rsidRDefault="009515A2" w:rsidP="009515A2">
      <w:pPr>
        <w:rPr>
          <w:rFonts w:asciiTheme="majorHAnsi" w:hAnsiTheme="majorHAnsi"/>
        </w:rPr>
      </w:pPr>
      <w:r w:rsidRPr="00AD0AE8">
        <w:rPr>
          <w:rFonts w:asciiTheme="majorHAnsi" w:hAnsiTheme="majorHAnsi"/>
        </w:rPr>
        <w:t>The security deposit may be applied, in whole or in part, to any costs properly incurred under this policy, including but not limited to:</w:t>
      </w:r>
    </w:p>
    <w:p w14:paraId="5EAB7D07" w14:textId="77777777" w:rsidR="009515A2" w:rsidRPr="00AD0AE8" w:rsidRDefault="009515A2" w:rsidP="009515A2">
      <w:pPr>
        <w:numPr>
          <w:ilvl w:val="0"/>
          <w:numId w:val="10"/>
        </w:numPr>
        <w:spacing w:after="0"/>
        <w:rPr>
          <w:rFonts w:asciiTheme="majorHAnsi" w:hAnsiTheme="majorHAnsi"/>
        </w:rPr>
      </w:pPr>
      <w:r w:rsidRPr="00AD0AE8">
        <w:rPr>
          <w:rFonts w:asciiTheme="majorHAnsi" w:hAnsiTheme="majorHAnsi"/>
        </w:rPr>
        <w:t xml:space="preserve">cleaning beyond normal requirements </w:t>
      </w:r>
    </w:p>
    <w:p w14:paraId="73E84F3B" w14:textId="77777777" w:rsidR="009515A2" w:rsidRPr="00AD0AE8" w:rsidRDefault="009515A2" w:rsidP="009515A2">
      <w:pPr>
        <w:numPr>
          <w:ilvl w:val="0"/>
          <w:numId w:val="10"/>
        </w:numPr>
        <w:spacing w:after="0"/>
        <w:rPr>
          <w:rFonts w:asciiTheme="majorHAnsi" w:hAnsiTheme="majorHAnsi"/>
        </w:rPr>
      </w:pPr>
      <w:r w:rsidRPr="00AD0AE8">
        <w:rPr>
          <w:rFonts w:asciiTheme="majorHAnsi" w:hAnsiTheme="majorHAnsi"/>
        </w:rPr>
        <w:t xml:space="preserve">repair or replacement of damage </w:t>
      </w:r>
    </w:p>
    <w:p w14:paraId="32347489" w14:textId="77777777" w:rsidR="009515A2" w:rsidRPr="00AD0AE8" w:rsidRDefault="009515A2" w:rsidP="009515A2">
      <w:pPr>
        <w:numPr>
          <w:ilvl w:val="0"/>
          <w:numId w:val="10"/>
        </w:numPr>
        <w:spacing w:after="0"/>
        <w:rPr>
          <w:rFonts w:asciiTheme="majorHAnsi" w:hAnsiTheme="majorHAnsi"/>
        </w:rPr>
      </w:pPr>
      <w:r w:rsidRPr="00AD0AE8">
        <w:rPr>
          <w:rFonts w:asciiTheme="majorHAnsi" w:hAnsiTheme="majorHAnsi"/>
        </w:rPr>
        <w:t xml:space="preserve">breach of hire conditions </w:t>
      </w:r>
    </w:p>
    <w:p w14:paraId="2167670A" w14:textId="77777777" w:rsidR="009515A2" w:rsidRPr="00AD0AE8" w:rsidRDefault="009515A2" w:rsidP="009515A2">
      <w:pPr>
        <w:numPr>
          <w:ilvl w:val="0"/>
          <w:numId w:val="10"/>
        </w:numPr>
        <w:spacing w:after="0"/>
        <w:rPr>
          <w:rFonts w:asciiTheme="majorHAnsi" w:hAnsiTheme="majorHAnsi"/>
        </w:rPr>
      </w:pPr>
      <w:r w:rsidRPr="00AD0AE8">
        <w:rPr>
          <w:rFonts w:asciiTheme="majorHAnsi" w:hAnsiTheme="majorHAnsi"/>
        </w:rPr>
        <w:t xml:space="preserve">unpaid additional charges </w:t>
      </w:r>
    </w:p>
    <w:p w14:paraId="78EBDCF7" w14:textId="0FD10EBA" w:rsidR="009515A2" w:rsidRDefault="009515A2" w:rsidP="009515A2">
      <w:pPr>
        <w:rPr>
          <w:rFonts w:asciiTheme="majorHAnsi" w:hAnsiTheme="majorHAnsi"/>
        </w:rPr>
      </w:pPr>
      <w:r w:rsidRPr="00AD0AE8">
        <w:rPr>
          <w:rFonts w:asciiTheme="majorHAnsi" w:hAnsiTheme="majorHAnsi"/>
        </w:rPr>
        <w:t>Where costs exceed the deposit held, the Hall reserves the right to recover the outstanding balance from the Hirer.</w:t>
      </w:r>
    </w:p>
    <w:p w14:paraId="0B88E4EC" w14:textId="5AB6CF3A" w:rsidR="009515A2" w:rsidRPr="00AD0AE8" w:rsidRDefault="009515A2" w:rsidP="00F9713D">
      <w:pPr>
        <w:pStyle w:val="Heading3"/>
        <w:pBdr>
          <w:bottom w:val="single" w:sz="12" w:space="1" w:color="156082" w:themeColor="accent1"/>
        </w:pBdr>
      </w:pPr>
      <w:bookmarkStart w:id="10" w:name="_Toc227059506"/>
      <w:r w:rsidRPr="00AD0AE8">
        <w:t xml:space="preserve">8. </w:t>
      </w:r>
      <w:r w:rsidR="00CD05C0" w:rsidRPr="00CD05C0">
        <w:t>General Administration Fee Policy</w:t>
      </w:r>
      <w:bookmarkEnd w:id="10"/>
    </w:p>
    <w:p w14:paraId="1DC2E882" w14:textId="77777777" w:rsidR="009515A2" w:rsidRPr="00AD0AE8" w:rsidRDefault="009515A2" w:rsidP="009515A2">
      <w:pPr>
        <w:rPr>
          <w:rFonts w:asciiTheme="majorHAnsi" w:hAnsiTheme="majorHAnsi"/>
        </w:rPr>
      </w:pPr>
      <w:r w:rsidRPr="00AD0AE8">
        <w:rPr>
          <w:rFonts w:asciiTheme="majorHAnsi" w:hAnsiTheme="majorHAnsi"/>
        </w:rPr>
        <w:t>A £20 administration fee applies to cancellations made after booking confirmation unless:</w:t>
      </w:r>
    </w:p>
    <w:p w14:paraId="595E9499" w14:textId="77777777" w:rsidR="009515A2" w:rsidRPr="00AD0AE8" w:rsidRDefault="009515A2" w:rsidP="009515A2">
      <w:pPr>
        <w:numPr>
          <w:ilvl w:val="0"/>
          <w:numId w:val="11"/>
        </w:numPr>
        <w:rPr>
          <w:rFonts w:asciiTheme="majorHAnsi" w:hAnsiTheme="majorHAnsi"/>
        </w:rPr>
      </w:pPr>
      <w:r w:rsidRPr="00AD0AE8">
        <w:rPr>
          <w:rFonts w:asciiTheme="majorHAnsi" w:hAnsiTheme="majorHAnsi"/>
        </w:rPr>
        <w:t xml:space="preserve">it is expressly waived by the Trustees, or </w:t>
      </w:r>
    </w:p>
    <w:p w14:paraId="1C779577" w14:textId="77777777" w:rsidR="009515A2" w:rsidRPr="00AD0AE8" w:rsidRDefault="009515A2" w:rsidP="009515A2">
      <w:pPr>
        <w:numPr>
          <w:ilvl w:val="0"/>
          <w:numId w:val="11"/>
        </w:numPr>
        <w:rPr>
          <w:rFonts w:asciiTheme="majorHAnsi" w:hAnsiTheme="majorHAnsi"/>
        </w:rPr>
      </w:pPr>
      <w:r w:rsidRPr="00AD0AE8">
        <w:rPr>
          <w:rFonts w:asciiTheme="majorHAnsi" w:hAnsiTheme="majorHAnsi"/>
        </w:rPr>
        <w:t xml:space="preserve">the Hall is re-let for the same period and the Trustees determine it is reasonable to waive or reduce the fee </w:t>
      </w:r>
    </w:p>
    <w:p w14:paraId="4C0F2E05" w14:textId="2A10663F" w:rsidR="009515A2" w:rsidRDefault="009515A2" w:rsidP="009515A2">
      <w:pPr>
        <w:rPr>
          <w:rFonts w:asciiTheme="majorHAnsi" w:hAnsiTheme="majorHAnsi"/>
        </w:rPr>
      </w:pPr>
      <w:r w:rsidRPr="00AD0AE8">
        <w:rPr>
          <w:rFonts w:asciiTheme="majorHAnsi" w:hAnsiTheme="majorHAnsi"/>
        </w:rPr>
        <w:t>The fee reflects administrative processing costs and is not a penalty.</w:t>
      </w:r>
    </w:p>
    <w:p w14:paraId="7D654FE0" w14:textId="77777777" w:rsidR="009515A2" w:rsidRPr="008A11F6" w:rsidRDefault="009515A2" w:rsidP="00F9713D">
      <w:pPr>
        <w:pStyle w:val="Heading3"/>
        <w:pBdr>
          <w:bottom w:val="single" w:sz="12" w:space="1" w:color="156082" w:themeColor="accent1"/>
        </w:pBdr>
      </w:pPr>
      <w:bookmarkStart w:id="11" w:name="_Toc227059507"/>
      <w:r w:rsidRPr="008A11F6">
        <w:t>9. Trustee Discretion</w:t>
      </w:r>
      <w:bookmarkEnd w:id="11"/>
    </w:p>
    <w:p w14:paraId="050C161E" w14:textId="77777777" w:rsidR="009515A2" w:rsidRPr="00AD0AE8" w:rsidRDefault="009515A2" w:rsidP="009515A2">
      <w:pPr>
        <w:rPr>
          <w:rFonts w:asciiTheme="majorHAnsi" w:hAnsiTheme="majorHAnsi"/>
        </w:rPr>
      </w:pPr>
      <w:r w:rsidRPr="00AD0AE8">
        <w:rPr>
          <w:rFonts w:asciiTheme="majorHAnsi" w:hAnsiTheme="majorHAnsi"/>
        </w:rPr>
        <w:t>Where discretion is exercised under this policy, the Trustees will act:</w:t>
      </w:r>
    </w:p>
    <w:p w14:paraId="3BB92403" w14:textId="77777777" w:rsidR="009515A2" w:rsidRPr="00AD0AE8" w:rsidRDefault="009515A2" w:rsidP="009515A2">
      <w:pPr>
        <w:numPr>
          <w:ilvl w:val="0"/>
          <w:numId w:val="15"/>
        </w:numPr>
        <w:spacing w:after="0"/>
        <w:rPr>
          <w:rFonts w:asciiTheme="majorHAnsi" w:hAnsiTheme="majorHAnsi"/>
        </w:rPr>
      </w:pPr>
      <w:r w:rsidRPr="00AD0AE8">
        <w:rPr>
          <w:rFonts w:asciiTheme="majorHAnsi" w:hAnsiTheme="majorHAnsi"/>
        </w:rPr>
        <w:t xml:space="preserve">reasonably </w:t>
      </w:r>
    </w:p>
    <w:p w14:paraId="48A759E3" w14:textId="77777777" w:rsidR="009515A2" w:rsidRPr="00AD0AE8" w:rsidRDefault="009515A2" w:rsidP="009515A2">
      <w:pPr>
        <w:numPr>
          <w:ilvl w:val="0"/>
          <w:numId w:val="15"/>
        </w:numPr>
        <w:spacing w:after="0"/>
        <w:rPr>
          <w:rFonts w:asciiTheme="majorHAnsi" w:hAnsiTheme="majorHAnsi"/>
        </w:rPr>
      </w:pPr>
      <w:r w:rsidRPr="00AD0AE8">
        <w:rPr>
          <w:rFonts w:asciiTheme="majorHAnsi" w:hAnsiTheme="majorHAnsi"/>
        </w:rPr>
        <w:t xml:space="preserve">proportionately </w:t>
      </w:r>
    </w:p>
    <w:p w14:paraId="5730284A" w14:textId="77777777" w:rsidR="009515A2" w:rsidRPr="00AD0AE8" w:rsidRDefault="009515A2" w:rsidP="009515A2">
      <w:pPr>
        <w:numPr>
          <w:ilvl w:val="0"/>
          <w:numId w:val="15"/>
        </w:numPr>
        <w:spacing w:after="0"/>
        <w:rPr>
          <w:rFonts w:asciiTheme="majorHAnsi" w:hAnsiTheme="majorHAnsi"/>
        </w:rPr>
      </w:pPr>
      <w:r w:rsidRPr="00AD0AE8">
        <w:rPr>
          <w:rFonts w:asciiTheme="majorHAnsi" w:hAnsiTheme="majorHAnsi"/>
        </w:rPr>
        <w:t xml:space="preserve">in good faith </w:t>
      </w:r>
    </w:p>
    <w:p w14:paraId="6D867C04" w14:textId="77777777" w:rsidR="009515A2" w:rsidRPr="00AD0AE8" w:rsidRDefault="009515A2" w:rsidP="009515A2">
      <w:pPr>
        <w:numPr>
          <w:ilvl w:val="0"/>
          <w:numId w:val="15"/>
        </w:numPr>
        <w:spacing w:after="0"/>
        <w:rPr>
          <w:rFonts w:asciiTheme="majorHAnsi" w:hAnsiTheme="majorHAnsi"/>
        </w:rPr>
      </w:pPr>
      <w:r w:rsidRPr="00AD0AE8">
        <w:rPr>
          <w:rFonts w:asciiTheme="majorHAnsi" w:hAnsiTheme="majorHAnsi"/>
        </w:rPr>
        <w:t xml:space="preserve">with reference to actual or avoided costs and the circumstances of the case </w:t>
      </w:r>
    </w:p>
    <w:p w14:paraId="7D2C9AC3" w14:textId="77777777" w:rsidR="009515A2" w:rsidRPr="00AD0AE8" w:rsidRDefault="009515A2" w:rsidP="009515A2">
      <w:pPr>
        <w:spacing w:after="0"/>
        <w:ind w:left="720"/>
        <w:rPr>
          <w:rFonts w:asciiTheme="majorHAnsi" w:hAnsiTheme="majorHAnsi"/>
        </w:rPr>
      </w:pPr>
    </w:p>
    <w:p w14:paraId="461A108B" w14:textId="70F9732B" w:rsidR="009515A2" w:rsidRPr="00AD0AE8" w:rsidRDefault="009515A2" w:rsidP="009515A2">
      <w:pPr>
        <w:rPr>
          <w:rFonts w:asciiTheme="majorHAnsi" w:hAnsiTheme="majorHAnsi"/>
        </w:rPr>
      </w:pPr>
      <w:r w:rsidRPr="00AD0AE8">
        <w:rPr>
          <w:rFonts w:asciiTheme="majorHAnsi" w:hAnsiTheme="majorHAnsi"/>
        </w:rPr>
        <w:lastRenderedPageBreak/>
        <w:t>This discretion may apply to:</w:t>
      </w:r>
    </w:p>
    <w:p w14:paraId="3EAB1E78" w14:textId="77777777" w:rsidR="009515A2" w:rsidRPr="00AD0AE8" w:rsidRDefault="009515A2" w:rsidP="009515A2">
      <w:pPr>
        <w:numPr>
          <w:ilvl w:val="0"/>
          <w:numId w:val="16"/>
        </w:numPr>
        <w:spacing w:after="0"/>
        <w:rPr>
          <w:rFonts w:asciiTheme="majorHAnsi" w:hAnsiTheme="majorHAnsi"/>
        </w:rPr>
      </w:pPr>
      <w:r w:rsidRPr="00AD0AE8">
        <w:rPr>
          <w:rFonts w:asciiTheme="majorHAnsi" w:hAnsiTheme="majorHAnsi"/>
        </w:rPr>
        <w:t xml:space="preserve">refunds </w:t>
      </w:r>
    </w:p>
    <w:p w14:paraId="45BCA7E0" w14:textId="77777777" w:rsidR="009515A2" w:rsidRPr="00AD0AE8" w:rsidRDefault="009515A2" w:rsidP="009515A2">
      <w:pPr>
        <w:numPr>
          <w:ilvl w:val="0"/>
          <w:numId w:val="16"/>
        </w:numPr>
        <w:spacing w:after="0"/>
        <w:rPr>
          <w:rFonts w:asciiTheme="majorHAnsi" w:hAnsiTheme="majorHAnsi"/>
        </w:rPr>
      </w:pPr>
      <w:r w:rsidRPr="00AD0AE8">
        <w:rPr>
          <w:rFonts w:asciiTheme="majorHAnsi" w:hAnsiTheme="majorHAnsi"/>
        </w:rPr>
        <w:t xml:space="preserve">cancellation charges </w:t>
      </w:r>
    </w:p>
    <w:p w14:paraId="718124BF" w14:textId="77777777" w:rsidR="009515A2" w:rsidRPr="00AD0AE8" w:rsidRDefault="009515A2" w:rsidP="009515A2">
      <w:pPr>
        <w:numPr>
          <w:ilvl w:val="0"/>
          <w:numId w:val="16"/>
        </w:numPr>
        <w:spacing w:after="0"/>
        <w:rPr>
          <w:rFonts w:asciiTheme="majorHAnsi" w:hAnsiTheme="majorHAnsi"/>
        </w:rPr>
      </w:pPr>
      <w:r w:rsidRPr="00AD0AE8">
        <w:rPr>
          <w:rFonts w:asciiTheme="majorHAnsi" w:hAnsiTheme="majorHAnsi"/>
        </w:rPr>
        <w:t xml:space="preserve">deposit deductions </w:t>
      </w:r>
    </w:p>
    <w:p w14:paraId="540F7EA0" w14:textId="77777777" w:rsidR="009515A2" w:rsidRPr="00AD0AE8" w:rsidRDefault="009515A2" w:rsidP="009515A2">
      <w:pPr>
        <w:numPr>
          <w:ilvl w:val="0"/>
          <w:numId w:val="16"/>
        </w:numPr>
        <w:spacing w:after="0"/>
        <w:rPr>
          <w:rFonts w:asciiTheme="majorHAnsi" w:hAnsiTheme="majorHAnsi"/>
        </w:rPr>
      </w:pPr>
      <w:r w:rsidRPr="00AD0AE8">
        <w:rPr>
          <w:rFonts w:asciiTheme="majorHAnsi" w:hAnsiTheme="majorHAnsi"/>
        </w:rPr>
        <w:t>waiver or reduction of fees</w:t>
      </w:r>
    </w:p>
    <w:p w14:paraId="026BB491" w14:textId="504DCF1D" w:rsidR="009515A2" w:rsidRPr="00AD0AE8" w:rsidRDefault="009515A2" w:rsidP="009515A2">
      <w:pPr>
        <w:spacing w:after="0"/>
        <w:ind w:left="720"/>
        <w:rPr>
          <w:rFonts w:asciiTheme="majorHAnsi" w:hAnsiTheme="majorHAnsi"/>
        </w:rPr>
      </w:pPr>
      <w:r w:rsidRPr="00AD0AE8">
        <w:rPr>
          <w:rFonts w:asciiTheme="majorHAnsi" w:hAnsiTheme="majorHAnsi"/>
        </w:rPr>
        <w:t xml:space="preserve"> </w:t>
      </w:r>
    </w:p>
    <w:p w14:paraId="15FAB9BD" w14:textId="40ABCBD1" w:rsidR="009515A2" w:rsidRDefault="009515A2" w:rsidP="009515A2">
      <w:pPr>
        <w:rPr>
          <w:rFonts w:asciiTheme="majorHAnsi" w:hAnsiTheme="majorHAnsi"/>
        </w:rPr>
      </w:pPr>
      <w:r w:rsidRPr="00AD0AE8">
        <w:rPr>
          <w:rFonts w:asciiTheme="majorHAnsi" w:hAnsiTheme="majorHAnsi"/>
        </w:rPr>
        <w:t>The Trustees may delegate the day-to-day application of this policy to a nominated booking administrator or other authorised person acting on their behalf. Any such delegated person shall apply this policy in accordance with the principles set by the Trustees and shall not exceed the scope of authority delegated to them. All discretionary decisions made under delegated authority remain subject to oversight by the Trustees.</w:t>
      </w:r>
    </w:p>
    <w:p w14:paraId="4EB44361" w14:textId="40ABCBD1" w:rsidR="009515A2" w:rsidRPr="00AD0AE8" w:rsidRDefault="009515A2" w:rsidP="005D3CD2">
      <w:pPr>
        <w:pStyle w:val="Heading3"/>
        <w:pBdr>
          <w:bottom w:val="single" w:sz="12" w:space="1" w:color="156082" w:themeColor="accent1"/>
        </w:pBdr>
      </w:pPr>
      <w:bookmarkStart w:id="12" w:name="_Toc227059508"/>
      <w:r w:rsidRPr="00AD0AE8">
        <w:t>10. Summary Principles</w:t>
      </w:r>
      <w:bookmarkEnd w:id="12"/>
    </w:p>
    <w:p w14:paraId="7489B128" w14:textId="77777777" w:rsidR="009515A2" w:rsidRPr="00AD0AE8" w:rsidRDefault="009515A2" w:rsidP="00B85F98">
      <w:pPr>
        <w:numPr>
          <w:ilvl w:val="0"/>
          <w:numId w:val="14"/>
        </w:numPr>
        <w:spacing w:after="0"/>
        <w:rPr>
          <w:rFonts w:asciiTheme="majorHAnsi" w:hAnsiTheme="majorHAnsi"/>
        </w:rPr>
      </w:pPr>
      <w:r w:rsidRPr="00AD0AE8">
        <w:rPr>
          <w:rFonts w:asciiTheme="majorHAnsi" w:hAnsiTheme="majorHAnsi"/>
        </w:rPr>
        <w:t xml:space="preserve">The ACRE Model Standard Conditions of Hire form the legally binding contract </w:t>
      </w:r>
    </w:p>
    <w:p w14:paraId="615E5253" w14:textId="77777777" w:rsidR="009515A2" w:rsidRPr="00AD0AE8" w:rsidRDefault="009515A2" w:rsidP="00B85F98">
      <w:pPr>
        <w:numPr>
          <w:ilvl w:val="0"/>
          <w:numId w:val="14"/>
        </w:numPr>
        <w:spacing w:after="0"/>
        <w:rPr>
          <w:rFonts w:asciiTheme="majorHAnsi" w:hAnsiTheme="majorHAnsi"/>
        </w:rPr>
      </w:pPr>
      <w:r w:rsidRPr="00AD0AE8">
        <w:rPr>
          <w:rFonts w:asciiTheme="majorHAnsi" w:hAnsiTheme="majorHAnsi"/>
        </w:rPr>
        <w:t xml:space="preserve">This policy explains how financial terms are applied in practice </w:t>
      </w:r>
    </w:p>
    <w:p w14:paraId="7A8931A9" w14:textId="77777777" w:rsidR="009515A2" w:rsidRPr="00AD0AE8" w:rsidRDefault="009515A2" w:rsidP="00B85F98">
      <w:pPr>
        <w:numPr>
          <w:ilvl w:val="0"/>
          <w:numId w:val="14"/>
        </w:numPr>
        <w:spacing w:after="0"/>
        <w:rPr>
          <w:rFonts w:asciiTheme="majorHAnsi" w:hAnsiTheme="majorHAnsi"/>
        </w:rPr>
      </w:pPr>
      <w:r w:rsidRPr="00AD0AE8">
        <w:rPr>
          <w:rFonts w:asciiTheme="majorHAnsi" w:hAnsiTheme="majorHAnsi"/>
        </w:rPr>
        <w:t xml:space="preserve">Deposits exist to protect against actual or reasonably foreseeable loss </w:t>
      </w:r>
    </w:p>
    <w:p w14:paraId="7C4315BB" w14:textId="77777777" w:rsidR="009515A2" w:rsidRPr="00AD0AE8" w:rsidRDefault="009515A2" w:rsidP="00B85F98">
      <w:pPr>
        <w:numPr>
          <w:ilvl w:val="0"/>
          <w:numId w:val="14"/>
        </w:numPr>
        <w:spacing w:after="0"/>
        <w:rPr>
          <w:rFonts w:asciiTheme="majorHAnsi" w:hAnsiTheme="majorHAnsi"/>
        </w:rPr>
      </w:pPr>
      <w:r w:rsidRPr="00AD0AE8">
        <w:rPr>
          <w:rFonts w:asciiTheme="majorHAnsi" w:hAnsiTheme="majorHAnsi"/>
        </w:rPr>
        <w:t xml:space="preserve">Charges will only be made where there is a clear and reasonable basis </w:t>
      </w:r>
    </w:p>
    <w:p w14:paraId="35BFD79C" w14:textId="5A47B3C6" w:rsidR="00621127" w:rsidRPr="008A11F6" w:rsidRDefault="009515A2" w:rsidP="00B85F98">
      <w:pPr>
        <w:numPr>
          <w:ilvl w:val="0"/>
          <w:numId w:val="14"/>
        </w:numPr>
        <w:spacing w:after="0"/>
        <w:rPr>
          <w:rFonts w:asciiTheme="majorHAnsi" w:hAnsiTheme="majorHAnsi"/>
        </w:rPr>
      </w:pPr>
      <w:r w:rsidRPr="008A11F6">
        <w:rPr>
          <w:rFonts w:asciiTheme="majorHAnsi" w:hAnsiTheme="majorHAnsi"/>
        </w:rPr>
        <w:t>Trustees will act reasonably and proportionately in all decisions</w:t>
      </w:r>
    </w:p>
    <w:sectPr w:rsidR="00621127" w:rsidRPr="008A11F6" w:rsidSect="0061032C">
      <w:footerReference w:type="default" r:id="rId9"/>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C916" w14:textId="77777777" w:rsidR="00B92AAD" w:rsidRDefault="00B92AAD" w:rsidP="008A11F6">
      <w:pPr>
        <w:spacing w:after="0" w:line="240" w:lineRule="auto"/>
      </w:pPr>
      <w:r>
        <w:separator/>
      </w:r>
    </w:p>
  </w:endnote>
  <w:endnote w:type="continuationSeparator" w:id="0">
    <w:p w14:paraId="1B04890D" w14:textId="77777777" w:rsidR="00B92AAD" w:rsidRDefault="00B92AAD" w:rsidP="008A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A457" w14:textId="3B289110" w:rsidR="008A11F6" w:rsidRDefault="008A11F6">
    <w:pPr>
      <w:pStyle w:val="Footer"/>
      <w:jc w:val="right"/>
    </w:pPr>
  </w:p>
  <w:tbl>
    <w:tblPr>
      <w:tblStyle w:val="TableGrid"/>
      <w:tblW w:w="1019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4"/>
      <w:gridCol w:w="1993"/>
    </w:tblGrid>
    <w:tr w:rsidR="00BB775B" w:rsidRPr="001055B4" w14:paraId="35BFD948" w14:textId="77777777" w:rsidTr="000C4DA2">
      <w:tc>
        <w:tcPr>
          <w:tcW w:w="8204" w:type="dxa"/>
        </w:tcPr>
        <w:p w14:paraId="0BD37D62" w14:textId="1DEEE5BA" w:rsidR="00BB775B" w:rsidRPr="001055B4" w:rsidRDefault="00BB775B" w:rsidP="00BB775B">
          <w:pPr>
            <w:pStyle w:val="Footer"/>
          </w:pPr>
          <w:proofErr w:type="spellStart"/>
          <w:r w:rsidRPr="001055B4">
            <w:t>Meldreth</w:t>
          </w:r>
          <w:proofErr w:type="spellEnd"/>
          <w:r w:rsidRPr="001055B4">
            <w:t xml:space="preserve"> Village Hall – Payments, Deposits &amp; Cancellation Policy</w:t>
          </w:r>
          <w:r w:rsidRPr="001055B4">
            <w:br/>
            <w:t xml:space="preserve">Approved by the Trustees: </w:t>
          </w:r>
          <w:r w:rsidR="00057E30">
            <w:t>May</w:t>
          </w:r>
          <w:r w:rsidRPr="001055B4">
            <w:t xml:space="preserve"> 2026 | Next review: </w:t>
          </w:r>
          <w:r w:rsidR="00057E30">
            <w:t>May</w:t>
          </w:r>
          <w:r w:rsidRPr="001055B4">
            <w:t xml:space="preserve"> 2027 | Version 1.0</w:t>
          </w:r>
        </w:p>
      </w:tc>
      <w:tc>
        <w:tcPr>
          <w:tcW w:w="1993" w:type="dxa"/>
        </w:tcPr>
        <w:p w14:paraId="4B7DD777" w14:textId="77777777" w:rsidR="00BB775B" w:rsidRPr="001055B4" w:rsidRDefault="00BB775B" w:rsidP="00BB775B">
          <w:pPr>
            <w:pStyle w:val="Footer"/>
            <w:tabs>
              <w:tab w:val="center" w:pos="646"/>
              <w:tab w:val="right" w:pos="1292"/>
            </w:tabs>
            <w:jc w:val="right"/>
          </w:pPr>
          <w:r w:rsidRPr="001055B4">
            <w:tab/>
            <w:t xml:space="preserve">Page </w:t>
          </w:r>
          <w:r w:rsidRPr="001055B4">
            <w:fldChar w:fldCharType="begin"/>
          </w:r>
          <w:r w:rsidRPr="001055B4">
            <w:instrText>PAGE   \* MERGEFORMAT</w:instrText>
          </w:r>
          <w:r w:rsidRPr="001055B4">
            <w:fldChar w:fldCharType="separate"/>
          </w:r>
          <w:r w:rsidRPr="001055B4">
            <w:t>1</w:t>
          </w:r>
          <w:r w:rsidRPr="001055B4">
            <w:fldChar w:fldCharType="end"/>
          </w:r>
          <w:r w:rsidRPr="001055B4">
            <w:t xml:space="preserve"> of </w:t>
          </w:r>
          <w:r w:rsidRPr="001055B4">
            <w:fldChar w:fldCharType="begin"/>
          </w:r>
          <w:r w:rsidRPr="001055B4">
            <w:instrText xml:space="preserve"> NUMPAGES   \* MERGEFORMAT </w:instrText>
          </w:r>
          <w:r w:rsidRPr="001055B4">
            <w:fldChar w:fldCharType="separate"/>
          </w:r>
          <w:r w:rsidRPr="001055B4">
            <w:rPr>
              <w:noProof/>
            </w:rPr>
            <w:t>13</w:t>
          </w:r>
          <w:r w:rsidRPr="001055B4">
            <w:fldChar w:fldCharType="end"/>
          </w:r>
          <w:r w:rsidRPr="001055B4">
            <w:t xml:space="preserve"> </w:t>
          </w:r>
        </w:p>
      </w:tc>
    </w:tr>
  </w:tbl>
  <w:p w14:paraId="230A7422" w14:textId="77777777" w:rsidR="008A11F6" w:rsidRDefault="008A1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50CE" w14:textId="77777777" w:rsidR="00B92AAD" w:rsidRDefault="00B92AAD" w:rsidP="008A11F6">
      <w:pPr>
        <w:spacing w:after="0" w:line="240" w:lineRule="auto"/>
      </w:pPr>
      <w:r>
        <w:separator/>
      </w:r>
    </w:p>
  </w:footnote>
  <w:footnote w:type="continuationSeparator" w:id="0">
    <w:p w14:paraId="21295C40" w14:textId="77777777" w:rsidR="00B92AAD" w:rsidRDefault="00B92AAD" w:rsidP="008A1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81"/>
    <w:multiLevelType w:val="multilevel"/>
    <w:tmpl w:val="0AAC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04A7E"/>
    <w:multiLevelType w:val="multilevel"/>
    <w:tmpl w:val="04F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06E85"/>
    <w:multiLevelType w:val="multilevel"/>
    <w:tmpl w:val="6C04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F6E95"/>
    <w:multiLevelType w:val="multilevel"/>
    <w:tmpl w:val="1952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4569E"/>
    <w:multiLevelType w:val="multilevel"/>
    <w:tmpl w:val="4470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A7CEA"/>
    <w:multiLevelType w:val="multilevel"/>
    <w:tmpl w:val="00C8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77A2D"/>
    <w:multiLevelType w:val="multilevel"/>
    <w:tmpl w:val="E40E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17F59"/>
    <w:multiLevelType w:val="multilevel"/>
    <w:tmpl w:val="88EE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952C6"/>
    <w:multiLevelType w:val="multilevel"/>
    <w:tmpl w:val="9666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40950"/>
    <w:multiLevelType w:val="multilevel"/>
    <w:tmpl w:val="C272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9665E"/>
    <w:multiLevelType w:val="multilevel"/>
    <w:tmpl w:val="F22A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134D8"/>
    <w:multiLevelType w:val="multilevel"/>
    <w:tmpl w:val="EF10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A057F"/>
    <w:multiLevelType w:val="multilevel"/>
    <w:tmpl w:val="29C0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24A98"/>
    <w:multiLevelType w:val="multilevel"/>
    <w:tmpl w:val="E5A2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F0992"/>
    <w:multiLevelType w:val="multilevel"/>
    <w:tmpl w:val="A66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46D74"/>
    <w:multiLevelType w:val="multilevel"/>
    <w:tmpl w:val="986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975E8B"/>
    <w:multiLevelType w:val="multilevel"/>
    <w:tmpl w:val="7DB4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327FE0"/>
    <w:multiLevelType w:val="hybridMultilevel"/>
    <w:tmpl w:val="EDD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91B83"/>
    <w:multiLevelType w:val="multilevel"/>
    <w:tmpl w:val="5FF0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D5A4A"/>
    <w:multiLevelType w:val="multilevel"/>
    <w:tmpl w:val="0E1A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F55E0"/>
    <w:multiLevelType w:val="multilevel"/>
    <w:tmpl w:val="5360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9E6B59"/>
    <w:multiLevelType w:val="multilevel"/>
    <w:tmpl w:val="03B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F438F"/>
    <w:multiLevelType w:val="multilevel"/>
    <w:tmpl w:val="FB9A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981952">
    <w:abstractNumId w:val="18"/>
  </w:num>
  <w:num w:numId="2" w16cid:durableId="1528982045">
    <w:abstractNumId w:val="12"/>
  </w:num>
  <w:num w:numId="3" w16cid:durableId="980694223">
    <w:abstractNumId w:val="7"/>
  </w:num>
  <w:num w:numId="4" w16cid:durableId="112406882">
    <w:abstractNumId w:val="2"/>
  </w:num>
  <w:num w:numId="5" w16cid:durableId="1052927871">
    <w:abstractNumId w:val="6"/>
  </w:num>
  <w:num w:numId="6" w16cid:durableId="2005039738">
    <w:abstractNumId w:val="4"/>
  </w:num>
  <w:num w:numId="7" w16cid:durableId="402412045">
    <w:abstractNumId w:val="14"/>
  </w:num>
  <w:num w:numId="8" w16cid:durableId="622618346">
    <w:abstractNumId w:val="0"/>
  </w:num>
  <w:num w:numId="9" w16cid:durableId="559947550">
    <w:abstractNumId w:val="13"/>
  </w:num>
  <w:num w:numId="10" w16cid:durableId="184484866">
    <w:abstractNumId w:val="22"/>
  </w:num>
  <w:num w:numId="11" w16cid:durableId="155460829">
    <w:abstractNumId w:val="15"/>
  </w:num>
  <w:num w:numId="12" w16cid:durableId="1507555220">
    <w:abstractNumId w:val="21"/>
  </w:num>
  <w:num w:numId="13" w16cid:durableId="457921005">
    <w:abstractNumId w:val="9"/>
  </w:num>
  <w:num w:numId="14" w16cid:durableId="1084843048">
    <w:abstractNumId w:val="5"/>
  </w:num>
  <w:num w:numId="15" w16cid:durableId="721292020">
    <w:abstractNumId w:val="8"/>
  </w:num>
  <w:num w:numId="16" w16cid:durableId="1731808308">
    <w:abstractNumId w:val="20"/>
  </w:num>
  <w:num w:numId="17" w16cid:durableId="1601985434">
    <w:abstractNumId w:val="1"/>
  </w:num>
  <w:num w:numId="18" w16cid:durableId="1397433754">
    <w:abstractNumId w:val="19"/>
  </w:num>
  <w:num w:numId="19" w16cid:durableId="50547795">
    <w:abstractNumId w:val="11"/>
  </w:num>
  <w:num w:numId="20" w16cid:durableId="379942855">
    <w:abstractNumId w:val="17"/>
  </w:num>
  <w:num w:numId="21" w16cid:durableId="1224490464">
    <w:abstractNumId w:val="3"/>
  </w:num>
  <w:num w:numId="22" w16cid:durableId="539821507">
    <w:abstractNumId w:val="16"/>
  </w:num>
  <w:num w:numId="23" w16cid:durableId="79179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A2"/>
    <w:rsid w:val="00010D6C"/>
    <w:rsid w:val="00014F46"/>
    <w:rsid w:val="00057E30"/>
    <w:rsid w:val="000F2969"/>
    <w:rsid w:val="00167DC7"/>
    <w:rsid w:val="00172CF1"/>
    <w:rsid w:val="001D2B2A"/>
    <w:rsid w:val="001E2024"/>
    <w:rsid w:val="001F6BE7"/>
    <w:rsid w:val="00242D80"/>
    <w:rsid w:val="002475BD"/>
    <w:rsid w:val="002624FC"/>
    <w:rsid w:val="00295940"/>
    <w:rsid w:val="002D13EE"/>
    <w:rsid w:val="00393C26"/>
    <w:rsid w:val="003D1C60"/>
    <w:rsid w:val="003D2898"/>
    <w:rsid w:val="00454DFE"/>
    <w:rsid w:val="00457A7F"/>
    <w:rsid w:val="004C547C"/>
    <w:rsid w:val="0052227F"/>
    <w:rsid w:val="00560036"/>
    <w:rsid w:val="00566B7E"/>
    <w:rsid w:val="005A714E"/>
    <w:rsid w:val="005D3CD2"/>
    <w:rsid w:val="0061032C"/>
    <w:rsid w:val="00621127"/>
    <w:rsid w:val="007C4128"/>
    <w:rsid w:val="0083183F"/>
    <w:rsid w:val="00835C16"/>
    <w:rsid w:val="00861909"/>
    <w:rsid w:val="008A11F6"/>
    <w:rsid w:val="009025DD"/>
    <w:rsid w:val="009421E0"/>
    <w:rsid w:val="009515A2"/>
    <w:rsid w:val="009569AE"/>
    <w:rsid w:val="00AD0AE8"/>
    <w:rsid w:val="00B43796"/>
    <w:rsid w:val="00B85F98"/>
    <w:rsid w:val="00B92AAD"/>
    <w:rsid w:val="00BB775B"/>
    <w:rsid w:val="00BC6B70"/>
    <w:rsid w:val="00C1283D"/>
    <w:rsid w:val="00C42510"/>
    <w:rsid w:val="00C8234C"/>
    <w:rsid w:val="00CD05C0"/>
    <w:rsid w:val="00D00FB0"/>
    <w:rsid w:val="00D109CC"/>
    <w:rsid w:val="00D10D84"/>
    <w:rsid w:val="00D5795B"/>
    <w:rsid w:val="00EA2FE0"/>
    <w:rsid w:val="00F5737D"/>
    <w:rsid w:val="00F64BC1"/>
    <w:rsid w:val="00F97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51B9"/>
  <w15:chartTrackingRefBased/>
  <w15:docId w15:val="{2DB73BF3-B76C-4630-AC83-90874814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1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51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1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1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51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5A2"/>
    <w:rPr>
      <w:rFonts w:eastAsiaTheme="majorEastAsia" w:cstheme="majorBidi"/>
      <w:color w:val="272727" w:themeColor="text1" w:themeTint="D8"/>
    </w:rPr>
  </w:style>
  <w:style w:type="paragraph" w:styleId="Title">
    <w:name w:val="Title"/>
    <w:basedOn w:val="Normal"/>
    <w:next w:val="Normal"/>
    <w:link w:val="TitleChar"/>
    <w:uiPriority w:val="10"/>
    <w:qFormat/>
    <w:rsid w:val="00951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5A2"/>
    <w:pPr>
      <w:spacing w:before="160"/>
      <w:jc w:val="center"/>
    </w:pPr>
    <w:rPr>
      <w:i/>
      <w:iCs/>
      <w:color w:val="404040" w:themeColor="text1" w:themeTint="BF"/>
    </w:rPr>
  </w:style>
  <w:style w:type="character" w:customStyle="1" w:styleId="QuoteChar">
    <w:name w:val="Quote Char"/>
    <w:basedOn w:val="DefaultParagraphFont"/>
    <w:link w:val="Quote"/>
    <w:uiPriority w:val="29"/>
    <w:rsid w:val="009515A2"/>
    <w:rPr>
      <w:i/>
      <w:iCs/>
      <w:color w:val="404040" w:themeColor="text1" w:themeTint="BF"/>
    </w:rPr>
  </w:style>
  <w:style w:type="paragraph" w:styleId="ListParagraph">
    <w:name w:val="List Paragraph"/>
    <w:basedOn w:val="Normal"/>
    <w:uiPriority w:val="34"/>
    <w:qFormat/>
    <w:rsid w:val="009515A2"/>
    <w:pPr>
      <w:ind w:left="720"/>
      <w:contextualSpacing/>
    </w:pPr>
  </w:style>
  <w:style w:type="character" w:styleId="IntenseEmphasis">
    <w:name w:val="Intense Emphasis"/>
    <w:basedOn w:val="DefaultParagraphFont"/>
    <w:uiPriority w:val="21"/>
    <w:qFormat/>
    <w:rsid w:val="009515A2"/>
    <w:rPr>
      <w:i/>
      <w:iCs/>
      <w:color w:val="0F4761" w:themeColor="accent1" w:themeShade="BF"/>
    </w:rPr>
  </w:style>
  <w:style w:type="paragraph" w:styleId="IntenseQuote">
    <w:name w:val="Intense Quote"/>
    <w:basedOn w:val="Normal"/>
    <w:next w:val="Normal"/>
    <w:link w:val="IntenseQuoteChar"/>
    <w:uiPriority w:val="30"/>
    <w:qFormat/>
    <w:rsid w:val="0095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5A2"/>
    <w:rPr>
      <w:i/>
      <w:iCs/>
      <w:color w:val="0F4761" w:themeColor="accent1" w:themeShade="BF"/>
    </w:rPr>
  </w:style>
  <w:style w:type="character" w:styleId="IntenseReference">
    <w:name w:val="Intense Reference"/>
    <w:basedOn w:val="DefaultParagraphFont"/>
    <w:uiPriority w:val="32"/>
    <w:qFormat/>
    <w:rsid w:val="009515A2"/>
    <w:rPr>
      <w:b/>
      <w:bCs/>
      <w:smallCaps/>
      <w:color w:val="0F4761" w:themeColor="accent1" w:themeShade="BF"/>
      <w:spacing w:val="5"/>
    </w:rPr>
  </w:style>
  <w:style w:type="paragraph" w:styleId="TOCHeading">
    <w:name w:val="TOC Heading"/>
    <w:basedOn w:val="Heading1"/>
    <w:next w:val="Normal"/>
    <w:uiPriority w:val="39"/>
    <w:unhideWhenUsed/>
    <w:qFormat/>
    <w:rsid w:val="00AD0AE8"/>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AD0AE8"/>
    <w:pPr>
      <w:spacing w:after="100"/>
    </w:pPr>
  </w:style>
  <w:style w:type="paragraph" w:styleId="TOC3">
    <w:name w:val="toc 3"/>
    <w:basedOn w:val="Normal"/>
    <w:next w:val="Normal"/>
    <w:autoRedefine/>
    <w:uiPriority w:val="39"/>
    <w:unhideWhenUsed/>
    <w:rsid w:val="00AD0AE8"/>
    <w:pPr>
      <w:spacing w:after="100"/>
      <w:ind w:left="440"/>
    </w:pPr>
  </w:style>
  <w:style w:type="character" w:styleId="Hyperlink">
    <w:name w:val="Hyperlink"/>
    <w:basedOn w:val="DefaultParagraphFont"/>
    <w:uiPriority w:val="99"/>
    <w:unhideWhenUsed/>
    <w:rsid w:val="00AD0AE8"/>
    <w:rPr>
      <w:color w:val="467886" w:themeColor="hyperlink"/>
      <w:u w:val="single"/>
    </w:rPr>
  </w:style>
  <w:style w:type="paragraph" w:styleId="TOC2">
    <w:name w:val="toc 2"/>
    <w:basedOn w:val="Normal"/>
    <w:next w:val="Normal"/>
    <w:autoRedefine/>
    <w:uiPriority w:val="39"/>
    <w:unhideWhenUsed/>
    <w:rsid w:val="008A11F6"/>
    <w:pPr>
      <w:spacing w:after="100"/>
      <w:ind w:left="220"/>
    </w:pPr>
  </w:style>
  <w:style w:type="paragraph" w:styleId="Header">
    <w:name w:val="header"/>
    <w:basedOn w:val="Normal"/>
    <w:link w:val="HeaderChar"/>
    <w:uiPriority w:val="99"/>
    <w:unhideWhenUsed/>
    <w:rsid w:val="008A1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1F6"/>
  </w:style>
  <w:style w:type="paragraph" w:styleId="Footer">
    <w:name w:val="footer"/>
    <w:basedOn w:val="Normal"/>
    <w:link w:val="FooterChar"/>
    <w:uiPriority w:val="99"/>
    <w:unhideWhenUsed/>
    <w:rsid w:val="008A1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1F6"/>
  </w:style>
  <w:style w:type="character" w:styleId="Emphasis">
    <w:name w:val="Emphasis"/>
    <w:basedOn w:val="DefaultParagraphFont"/>
    <w:uiPriority w:val="20"/>
    <w:qFormat/>
    <w:rsid w:val="009569AE"/>
    <w:rPr>
      <w:i/>
      <w:iCs/>
    </w:rPr>
  </w:style>
  <w:style w:type="character" w:styleId="Strong">
    <w:name w:val="Strong"/>
    <w:basedOn w:val="DefaultParagraphFont"/>
    <w:uiPriority w:val="22"/>
    <w:qFormat/>
    <w:rsid w:val="00393C26"/>
    <w:rPr>
      <w:b/>
      <w:bCs/>
    </w:rPr>
  </w:style>
  <w:style w:type="paragraph" w:styleId="NormalWeb">
    <w:name w:val="Normal (Web)"/>
    <w:basedOn w:val="Normal"/>
    <w:uiPriority w:val="99"/>
    <w:semiHidden/>
    <w:unhideWhenUsed/>
    <w:rsid w:val="00393C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4">
    <w:name w:val="toc 4"/>
    <w:basedOn w:val="Normal"/>
    <w:next w:val="Normal"/>
    <w:autoRedefine/>
    <w:uiPriority w:val="39"/>
    <w:unhideWhenUsed/>
    <w:rsid w:val="0061032C"/>
    <w:pPr>
      <w:spacing w:after="100"/>
      <w:ind w:left="660"/>
    </w:pPr>
  </w:style>
  <w:style w:type="table" w:styleId="TableGrid">
    <w:name w:val="Table Grid"/>
    <w:basedOn w:val="TableNormal"/>
    <w:uiPriority w:val="39"/>
    <w:rsid w:val="00BB7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27F0-42CB-4321-A49A-166E6AD5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7284</Characters>
  <Application>Microsoft Office Word</Application>
  <DocSecurity>0</DocSecurity>
  <Lines>132</Lines>
  <Paragraphs>75</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Moore</dc:creator>
  <cp:keywords/>
  <dc:description/>
  <cp:lastModifiedBy>Julia Moore</cp:lastModifiedBy>
  <cp:revision>34</cp:revision>
  <dcterms:created xsi:type="dcterms:W3CDTF">2026-04-14T00:29:00Z</dcterms:created>
  <dcterms:modified xsi:type="dcterms:W3CDTF">2026-04-14T11:01:00Z</dcterms:modified>
</cp:coreProperties>
</file>