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heading=h.ypdvou4n8qtu" w:id="0"/>
      <w:bookmarkEnd w:id="0"/>
      <w:r w:rsidDel="00000000" w:rsidR="00000000" w:rsidRPr="00000000">
        <w:rPr>
          <w:rtl w:val="0"/>
        </w:rPr>
        <w:t xml:space="preserve">CHARGES AND HIRE RATES 2025/26</w:t>
      </w:r>
    </w:p>
    <w:p w:rsidR="00000000" w:rsidDel="00000000" w:rsidP="00000000" w:rsidRDefault="00000000" w:rsidRPr="00000000" w14:paraId="00000002">
      <w:pPr>
        <w:jc w:val="center"/>
        <w:rPr>
          <w:color w:val="2b2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b2b2b"/>
        </w:rPr>
      </w:pPr>
      <w:r w:rsidDel="00000000" w:rsidR="00000000" w:rsidRPr="00000000">
        <w:rPr>
          <w:color w:val="2b2b2b"/>
          <w:rtl w:val="0"/>
        </w:rPr>
        <w:t xml:space="preserve">LHVH provides two tiers of facility hire rates for residents of Little Hadham Parish /non profit clubs, and non residents /commercial hires.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080"/>
        <w:gridCol w:w="2235"/>
        <w:gridCol w:w="1425"/>
        <w:gridCol w:w="1425"/>
        <w:gridCol w:w="1425"/>
        <w:gridCol w:w="1425"/>
        <w:tblGridChange w:id="0">
          <w:tblGrid>
            <w:gridCol w:w="1080"/>
            <w:gridCol w:w="2235"/>
            <w:gridCol w:w="1425"/>
            <w:gridCol w:w="1425"/>
            <w:gridCol w:w="1425"/>
            <w:gridCol w:w="14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RESIDENT  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 FOR PROFIT CLUBS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NON-RESIDENT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COMMERCIAL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Weekend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 Hour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Whole Facility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27.60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32.28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32.28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36.00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Hall (Oak)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15.56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17.92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17.92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21.56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Back Room (Elm)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11.96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12.16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12.16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16.72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Hub (Ash)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10.48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11.56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11.56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12.60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 Hire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Kitchen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15.72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15.72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20.96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20.96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 Park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5.24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10.48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10.48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20.96</w:t>
            </w:r>
          </w:p>
        </w:tc>
      </w:tr>
    </w:tbl>
    <w:p w:rsidR="00000000" w:rsidDel="00000000" w:rsidP="00000000" w:rsidRDefault="00000000" w:rsidRPr="00000000" w14:paraId="0000003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Children Parties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MUST</w:t>
      </w:r>
      <w:r w:rsidDel="00000000" w:rsidR="00000000" w:rsidRPr="00000000">
        <w:rPr>
          <w:rtl w:val="0"/>
        </w:rPr>
        <w:t xml:space="preserve"> book at </w:t>
      </w:r>
      <w:r w:rsidDel="00000000" w:rsidR="00000000" w:rsidRPr="00000000">
        <w:rPr>
          <w:b w:val="1"/>
          <w:rtl w:val="0"/>
        </w:rPr>
        <w:t xml:space="preserve">Whole Facility </w:t>
      </w:r>
      <w:r w:rsidDel="00000000" w:rsidR="00000000" w:rsidRPr="00000000">
        <w:rPr>
          <w:rtl w:val="0"/>
        </w:rPr>
        <w:t xml:space="preserve">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‘Whole facility’ is defined as the Oak and Elm Rooms; Kitchen and Kitchen Demo area - but </w:t>
      </w:r>
      <w:r w:rsidDel="00000000" w:rsidR="00000000" w:rsidRPr="00000000">
        <w:rPr>
          <w:b w:val="1"/>
          <w:rtl w:val="0"/>
        </w:rPr>
        <w:t xml:space="preserve">excludes</w:t>
      </w:r>
      <w:r w:rsidDel="00000000" w:rsidR="00000000" w:rsidRPr="00000000">
        <w:rPr>
          <w:rtl w:val="0"/>
        </w:rPr>
        <w:t xml:space="preserve"> the Ash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Kitchen is an additional charge when events require full use of all kitchen facilities including the cookers.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 park charge only applicable if not hiring the rooms.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color w:val="2b2b2b"/>
          <w:rtl w:val="0"/>
        </w:rPr>
        <w:t xml:space="preserve">Storage of equipment is only via prior approval of the LHVH committee.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Not for Profit clubs are those specified under the constitution providing for the local community.</w:t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heading=h.yyj3s5h07b9x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ADDITIONAL SERVICES</w:t>
      </w:r>
    </w:p>
    <w:p w:rsidR="00000000" w:rsidDel="00000000" w:rsidP="00000000" w:rsidRDefault="00000000" w:rsidRPr="00000000" w14:paraId="0000004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DIGITAL SERVICES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Sound System only - £5.48/hr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2b2b2b"/>
          <w:rtl w:val="0"/>
        </w:rPr>
        <w:t xml:space="preserve">Wireless Bluetooth surround sound</w:t>
        <w:br w:type="textWrapping"/>
        <w:t xml:space="preserve">Self-service with instructions for operation per user guide, </w:t>
        <w:br w:type="textWrapping"/>
        <w:t xml:space="preserve">Service automatically timed to coincide with your hall booking start time.</w:t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720" w:hanging="360"/>
        <w:rPr>
          <w:color w:val="2b2b2b"/>
          <w:u w:val="none"/>
        </w:rPr>
      </w:pPr>
      <w:r w:rsidDel="00000000" w:rsidR="00000000" w:rsidRPr="00000000">
        <w:rPr>
          <w:b w:val="1"/>
          <w:color w:val="2b2b2b"/>
          <w:rtl w:val="0"/>
        </w:rPr>
        <w:t xml:space="preserve">Sound system + Projector - £15.72/hr</w:t>
      </w:r>
      <w:r w:rsidDel="00000000" w:rsidR="00000000" w:rsidRPr="00000000">
        <w:rPr>
          <w:color w:val="2b2b2b"/>
          <w:rtl w:val="0"/>
        </w:rPr>
        <w:br w:type="textWrapping"/>
        <w:t xml:space="preserve">4m Drop down screen, HD projector</w:t>
        <w:br w:type="textWrapping"/>
        <w:t xml:space="preserve">Wireless or HDMI connection (by arrangement)</w:t>
        <w:br w:type="textWrapping"/>
        <w:t xml:space="preserve">Self-service with instructions for operation per user guide, </w:t>
        <w:br w:type="textWrapping"/>
        <w:t xml:space="preserve">Service automatically timed to coincide with your hall booking start time.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720" w:hanging="360"/>
        <w:rPr>
          <w:color w:val="2b2b2b"/>
          <w:u w:val="none"/>
        </w:rPr>
      </w:pPr>
      <w:r w:rsidDel="00000000" w:rsidR="00000000" w:rsidRPr="00000000">
        <w:rPr>
          <w:b w:val="1"/>
          <w:color w:val="2b2b2b"/>
          <w:rtl w:val="0"/>
        </w:rPr>
        <w:t xml:space="preserve">Streaming Studio - £42/hr</w:t>
      </w:r>
      <w:r w:rsidDel="00000000" w:rsidR="00000000" w:rsidRPr="00000000">
        <w:rPr>
          <w:color w:val="2b2b2b"/>
          <w:rtl w:val="0"/>
        </w:rPr>
        <w:br w:type="textWrapping"/>
        <w:t xml:space="preserve">Up to 3 HD cameras, lighting and microphones, broadband internet service for streaming (by hirer using their own streaming service). </w:t>
        <w:br w:type="textWrapping"/>
      </w:r>
      <w:r w:rsidDel="00000000" w:rsidR="00000000" w:rsidRPr="00000000">
        <w:rPr>
          <w:b w:val="1"/>
          <w:color w:val="2b2b2b"/>
          <w:rtl w:val="0"/>
        </w:rPr>
        <w:t xml:space="preserve">Operated by LHVH technician</w:t>
      </w:r>
      <w:r w:rsidDel="00000000" w:rsidR="00000000" w:rsidRPr="00000000">
        <w:rPr>
          <w:color w:val="2b2b2b"/>
          <w:rtl w:val="0"/>
        </w:rPr>
        <w:t xml:space="preserve">.</w:t>
        <w:br w:type="textWrapping"/>
        <w:t xml:space="preserve">Minimum hire 4 hours, includes 1 hour to set up equipment before it is available to stream and 1 hour after the end of streaming for take down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b w:val="1"/>
          <w:color w:val="2b2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b w:val="1"/>
          <w:color w:val="2b2b2b"/>
        </w:rPr>
      </w:pPr>
      <w:r w:rsidDel="00000000" w:rsidR="00000000" w:rsidRPr="00000000">
        <w:rPr>
          <w:b w:val="1"/>
          <w:color w:val="2b2b2b"/>
          <w:rtl w:val="0"/>
        </w:rPr>
        <w:t xml:space="preserve">ACCESSORIES TO HIRE AWAY FROM PREMISES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color w:val="2b2b2b"/>
        </w:rPr>
      </w:pPr>
      <w:r w:rsidDel="00000000" w:rsidR="00000000" w:rsidRPr="00000000">
        <w:rPr>
          <w:color w:val="2b2b2b"/>
          <w:rtl w:val="0"/>
        </w:rPr>
        <w:t xml:space="preserve">Plates - 50p/item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color w:val="2b2b2b"/>
          <w:u w:val="none"/>
        </w:rPr>
      </w:pPr>
      <w:r w:rsidDel="00000000" w:rsidR="00000000" w:rsidRPr="00000000">
        <w:rPr>
          <w:color w:val="2b2b2b"/>
          <w:rtl w:val="0"/>
        </w:rPr>
        <w:t xml:space="preserve">Glasses - 50p/item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color w:val="2b2b2b"/>
          <w:u w:val="none"/>
        </w:rPr>
      </w:pPr>
      <w:r w:rsidDel="00000000" w:rsidR="00000000" w:rsidRPr="00000000">
        <w:rPr>
          <w:color w:val="2b2b2b"/>
          <w:rtl w:val="0"/>
        </w:rPr>
        <w:t xml:space="preserve">Cutlery - 50p/item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color w:val="2b2b2b"/>
          <w:u w:val="none"/>
        </w:rPr>
      </w:pPr>
      <w:r w:rsidDel="00000000" w:rsidR="00000000" w:rsidRPr="00000000">
        <w:rPr>
          <w:color w:val="2b2b2b"/>
          <w:rtl w:val="0"/>
        </w:rPr>
        <w:t xml:space="preserve">Chairs - £1/chair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color w:val="2b2b2b"/>
          <w:u w:val="none"/>
        </w:rPr>
      </w:pPr>
      <w:r w:rsidDel="00000000" w:rsidR="00000000" w:rsidRPr="00000000">
        <w:rPr>
          <w:color w:val="2b2b2b"/>
          <w:rtl w:val="0"/>
        </w:rPr>
        <w:t xml:space="preserve">Tables - £3/table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b w:val="1"/>
          <w:color w:val="2b2b2b"/>
        </w:rPr>
      </w:pPr>
      <w:r w:rsidDel="00000000" w:rsidR="00000000" w:rsidRPr="00000000">
        <w:rPr>
          <w:b w:val="1"/>
          <w:color w:val="2b2b2b"/>
          <w:rtl w:val="0"/>
        </w:rPr>
        <w:t xml:space="preserve">Breakages charged at double hire rate</w:t>
      </w:r>
    </w:p>
    <w:p w:rsidR="00000000" w:rsidDel="00000000" w:rsidP="00000000" w:rsidRDefault="00000000" w:rsidRPr="00000000" w14:paraId="0000004E">
      <w:pPr>
        <w:rPr>
          <w:color w:val="2b2b2b"/>
        </w:rPr>
      </w:pPr>
      <w:r w:rsidDel="00000000" w:rsidR="00000000" w:rsidRPr="00000000">
        <w:rPr>
          <w:color w:val="2b2b2b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color w:val="2b2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2b2b2b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2b2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2b2b2b"/>
        </w:rPr>
      </w:pPr>
      <w:r w:rsidDel="00000000" w:rsidR="00000000" w:rsidRPr="00000000">
        <w:rPr>
          <w:b w:val="1"/>
          <w:color w:val="2b2b2b"/>
          <w:rtl w:val="0"/>
        </w:rPr>
        <w:t xml:space="preserve">Revision history</w:t>
      </w:r>
      <w:r w:rsidDel="00000000" w:rsidR="00000000" w:rsidRPr="00000000">
        <w:rPr>
          <w:color w:val="2b2b2b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color w:val="2b2b2b"/>
        </w:rPr>
      </w:pPr>
      <w:r w:rsidDel="00000000" w:rsidR="00000000" w:rsidRPr="00000000">
        <w:rPr>
          <w:color w:val="2b2b2b"/>
          <w:rtl w:val="0"/>
        </w:rPr>
        <w:t xml:space="preserve">V3 Rates reviewed 1st November 2024 - July RPI 2024 increase applied.</w:t>
      </w:r>
    </w:p>
    <w:p w:rsidR="00000000" w:rsidDel="00000000" w:rsidP="00000000" w:rsidRDefault="00000000" w:rsidRPr="00000000" w14:paraId="00000054">
      <w:pPr>
        <w:rPr>
          <w:color w:val="2b2b2b"/>
        </w:rPr>
      </w:pPr>
      <w:r w:rsidDel="00000000" w:rsidR="00000000" w:rsidRPr="00000000">
        <w:rPr>
          <w:color w:val="2b2b2b"/>
          <w:rtl w:val="0"/>
        </w:rPr>
        <w:t xml:space="preserve">V4 rates reviewed 14th October 2024 - July RPI 4.8% 2025 increase applied</w:t>
      </w:r>
    </w:p>
    <w:p w:rsidR="00000000" w:rsidDel="00000000" w:rsidP="00000000" w:rsidRDefault="00000000" w:rsidRPr="00000000" w14:paraId="00000055">
      <w:pPr>
        <w:rPr>
          <w:color w:val="2b2b2b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6840" w:w="1190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BOOKING/LHVH-Rates / V4 Nov 2025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BOOKING/LHVH-Rates / V4 Nov 2025</w:t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ind w:left="144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-123180</wp:posOffset>
          </wp:positionV>
          <wp:extent cx="1148715" cy="1148715"/>
          <wp:effectExtent b="0" l="0" r="0" t="0"/>
          <wp:wrapSquare wrapText="bothSides" distB="0" distT="0" distL="114300" distR="114300"/>
          <wp:docPr descr="Icon&#10;&#10;Description automatically generated" id="9" name="image1.png"/>
          <a:graphic>
            <a:graphicData uri="http://schemas.openxmlformats.org/drawingml/2006/picture">
              <pic:pic>
                <pic:nvPicPr>
                  <pic:cNvPr descr="Icon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8715" cy="1148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44E9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4E96"/>
  </w:style>
  <w:style w:type="paragraph" w:styleId="Footer">
    <w:name w:val="footer"/>
    <w:basedOn w:val="Normal"/>
    <w:link w:val="FooterChar"/>
    <w:uiPriority w:val="99"/>
    <w:unhideWhenUsed w:val="1"/>
    <w:rsid w:val="00144E9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4E96"/>
  </w:style>
  <w:style w:type="character" w:styleId="Hyperlink">
    <w:name w:val="Hyperlink"/>
    <w:basedOn w:val="DefaultParagraphFont"/>
    <w:rsid w:val="00144E96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47909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dG5Zf9NjvfjUqlicN898FYcug==">CgMxLjAyDmgueXBkdm91NG44cXR1Mg5oLnl5ajNzNWgwN2I5eDIIaC5namRneHM4AHIhMVNZdTVuc2doQmdVYUtzbnhIZEljd0FSZ2k5cDdfLWhs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2022-06-29T08:36:00Z</dcterms:created>
  <dc:creator>Denise Armstrong</dc:creator>
</cp:coreProperties>
</file>