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7D0A" w14:textId="77777777" w:rsidR="00202AC4" w:rsidRPr="00202AC4" w:rsidRDefault="00202AC4" w:rsidP="00202AC4">
      <w:pPr>
        <w:shd w:val="clear" w:color="auto" w:fill="FFFFFF"/>
        <w:spacing w:before="100" w:beforeAutospacing="1" w:after="100" w:afterAutospacing="1" w:line="240" w:lineRule="auto"/>
        <w:jc w:val="center"/>
        <w:outlineLvl w:val="2"/>
        <w:rPr>
          <w:rFonts w:ascii="Segoe UI" w:eastAsia="Times New Roman" w:hAnsi="Segoe UI" w:cs="Segoe UI"/>
          <w:b/>
          <w:bCs/>
          <w:color w:val="242424"/>
          <w:kern w:val="0"/>
          <w:sz w:val="27"/>
          <w:szCs w:val="27"/>
          <w:lang w:eastAsia="en-GB"/>
          <w14:ligatures w14:val="none"/>
        </w:rPr>
      </w:pPr>
      <w:r w:rsidRPr="00202AC4">
        <w:rPr>
          <w:rFonts w:ascii="Segoe UI" w:eastAsia="Times New Roman" w:hAnsi="Segoe UI" w:cs="Segoe UI"/>
          <w:b/>
          <w:bCs/>
          <w:color w:val="242424"/>
          <w:kern w:val="0"/>
          <w:sz w:val="27"/>
          <w:szCs w:val="27"/>
          <w:lang w:eastAsia="en-GB"/>
          <w14:ligatures w14:val="none"/>
        </w:rPr>
        <w:t>BURTON UPON STATHER VILLAGE HALL</w:t>
      </w:r>
    </w:p>
    <w:p w14:paraId="7D7AA698" w14:textId="77777777" w:rsidR="00202AC4" w:rsidRPr="00202AC4" w:rsidRDefault="00202AC4" w:rsidP="00202AC4">
      <w:pPr>
        <w:shd w:val="clear" w:color="auto" w:fill="FFFFFF"/>
        <w:spacing w:before="100" w:beforeAutospacing="1" w:after="100" w:afterAutospacing="1" w:line="240" w:lineRule="auto"/>
        <w:jc w:val="center"/>
        <w:outlineLvl w:val="2"/>
        <w:rPr>
          <w:rFonts w:ascii="Segoe UI" w:eastAsia="Times New Roman" w:hAnsi="Segoe UI" w:cs="Segoe UI"/>
          <w:b/>
          <w:bCs/>
          <w:color w:val="242424"/>
          <w:kern w:val="0"/>
          <w:sz w:val="27"/>
          <w:szCs w:val="27"/>
          <w:lang w:eastAsia="en-GB"/>
          <w14:ligatures w14:val="none"/>
        </w:rPr>
      </w:pPr>
      <w:r w:rsidRPr="00202AC4">
        <w:rPr>
          <w:rFonts w:ascii="Segoe UI" w:eastAsia="Times New Roman" w:hAnsi="Segoe UI" w:cs="Segoe UI"/>
          <w:b/>
          <w:bCs/>
          <w:color w:val="242424"/>
          <w:kern w:val="0"/>
          <w:sz w:val="27"/>
          <w:szCs w:val="27"/>
          <w:lang w:eastAsia="en-GB"/>
          <w14:ligatures w14:val="none"/>
        </w:rPr>
        <w:t>TERMS AND CONDITIONS OF HIRE</w:t>
      </w:r>
    </w:p>
    <w:p w14:paraId="65561DBC" w14:textId="6B550D1E" w:rsidR="00202AC4" w:rsidRPr="00202AC4" w:rsidRDefault="00202AC4" w:rsidP="00202AC4">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02AC4">
        <w:rPr>
          <w:rFonts w:ascii="Segoe UI" w:eastAsia="Times New Roman" w:hAnsi="Segoe UI" w:cs="Segoe UI"/>
          <w:color w:val="242424"/>
          <w:kern w:val="0"/>
          <w:sz w:val="23"/>
          <w:szCs w:val="23"/>
          <w:lang w:eastAsia="en-GB"/>
          <w14:ligatures w14:val="none"/>
        </w:rPr>
        <w:t>1)  Application for the hire of the Premises should be made to the Booking Secretary.  The right to refuse any application is reserved to the Committee or the Chair of the Committee provided that the said Chair reports their actions to the next meeting of the Committee</w:t>
      </w:r>
      <w:r w:rsidRPr="00202AC4">
        <w:rPr>
          <w:rFonts w:ascii="Segoe UI" w:eastAsia="Times New Roman" w:hAnsi="Segoe UI" w:cs="Segoe UI"/>
          <w:color w:val="242424"/>
          <w:kern w:val="0"/>
          <w:sz w:val="23"/>
          <w:szCs w:val="23"/>
          <w:lang w:eastAsia="en-GB"/>
          <w14:ligatures w14:val="none"/>
        </w:rPr>
        <w:br/>
        <w:t>2) Conditions of hire are set out in the Premises Licence. sent in separate email. There may be ‘Special Conditions of Hire’ or other conditions – these will be given to the hirer as appropriate.  Some of these conditions are also referred to below.</w:t>
      </w:r>
      <w:r w:rsidRPr="00202AC4">
        <w:rPr>
          <w:rFonts w:ascii="Segoe UI" w:eastAsia="Times New Roman" w:hAnsi="Segoe UI" w:cs="Segoe UI"/>
          <w:color w:val="242424"/>
          <w:kern w:val="0"/>
          <w:sz w:val="23"/>
          <w:szCs w:val="23"/>
          <w:lang w:eastAsia="en-GB"/>
          <w14:ligatures w14:val="none"/>
        </w:rPr>
        <w:br/>
        <w:t>3)  No intoxicating liquors are permitted to be bought, sold or consumed on any part of the Premises without the express permission of the Committee whose consent must be obtained prior to the Hirer seeking any temporary licenses for the sale of intoxicating liquors.</w:t>
      </w:r>
      <w:r w:rsidRPr="00202AC4">
        <w:rPr>
          <w:rFonts w:ascii="Segoe UI" w:eastAsia="Times New Roman" w:hAnsi="Segoe UI" w:cs="Segoe UI"/>
          <w:color w:val="242424"/>
          <w:kern w:val="0"/>
          <w:sz w:val="23"/>
          <w:szCs w:val="23"/>
          <w:lang w:eastAsia="en-GB"/>
          <w14:ligatures w14:val="none"/>
        </w:rPr>
        <w:br/>
        <w:t>4)  The Premises are licensed for public dancing, public displays, exhibitions of sports and other similar types of entertainment with the ‘Premises Licence” attached to this Hire Agreement. Please refer to the attached Licence for the permitted times of activities.</w:t>
      </w:r>
      <w:r w:rsidRPr="00202AC4">
        <w:rPr>
          <w:rFonts w:ascii="Segoe UI" w:eastAsia="Times New Roman" w:hAnsi="Segoe UI" w:cs="Segoe UI"/>
          <w:color w:val="242424"/>
          <w:kern w:val="0"/>
          <w:sz w:val="23"/>
          <w:szCs w:val="23"/>
          <w:lang w:eastAsia="en-GB"/>
          <w14:ligatures w14:val="none"/>
        </w:rPr>
        <w:br/>
        <w:t>5) All conditions of the ‘Premises Licence’ must be strictly adhered to.  Nothing shall be done that will endanger the safety of persons using the Premises or render invalid the policies of insurance relating the Premises or surrounding land.  In particular: a) No obstructions must be placed in or around gangways or exits; b) Fire appliances, which are inspected regularly, must be kept in their proper places and not used for any purposes except for the use for which they are intended.</w:t>
      </w:r>
      <w:r w:rsidRPr="00202AC4">
        <w:rPr>
          <w:rFonts w:ascii="Segoe UI" w:eastAsia="Times New Roman" w:hAnsi="Segoe UI" w:cs="Segoe UI"/>
          <w:color w:val="242424"/>
          <w:kern w:val="0"/>
          <w:sz w:val="23"/>
          <w:szCs w:val="23"/>
          <w:lang w:eastAsia="en-GB"/>
          <w14:ligatures w14:val="none"/>
        </w:rPr>
        <w:br/>
        <w:t>6)  The Premises are licensed with the ‘Performing Rights Society’ as per the ‘Copyright and Designs and Patents Act 1988’ for the performance of music controlled by that Society. The Society controls the royalties on behalf of music composers.</w:t>
      </w:r>
      <w:r w:rsidRPr="00202AC4">
        <w:rPr>
          <w:rFonts w:ascii="Segoe UI" w:eastAsia="Times New Roman" w:hAnsi="Segoe UI" w:cs="Segoe UI"/>
          <w:color w:val="242424"/>
          <w:kern w:val="0"/>
          <w:sz w:val="23"/>
          <w:szCs w:val="23"/>
          <w:lang w:eastAsia="en-GB"/>
          <w14:ligatures w14:val="none"/>
        </w:rPr>
        <w:br/>
        <w:t>7) The organisers of an event where a licence is payable for the public performance of recorded music (e.g. radio, tapes, compact discs, DVDs) shall be responsible for obtaining the necessary licence from ‘Phonographic Performance Ltd’.  They issue licenses and collect copyright law when sound recordings are used in public on behalf of companies producing the said recordings.  No licence is needed and no royalties are payable when the public performance is beneficial to, or part of, the activities of an organisation whose main objectives are charitable or are otherwise concerned with the advancement of religion, education or social welfare.</w:t>
      </w:r>
      <w:r w:rsidRPr="00202AC4">
        <w:rPr>
          <w:rFonts w:ascii="Segoe UI" w:eastAsia="Times New Roman" w:hAnsi="Segoe UI" w:cs="Segoe UI"/>
          <w:color w:val="242424"/>
          <w:kern w:val="0"/>
          <w:sz w:val="23"/>
          <w:szCs w:val="23"/>
          <w:lang w:eastAsia="en-GB"/>
          <w14:ligatures w14:val="none"/>
        </w:rPr>
        <w:br/>
        <w:t>8)  Nothing shall be done on or in relation to the Premises in contravention of the law relating to betting, gaming and lotteries, and the person or organisation to whom the Premises are let shall be responsible for seeing that the requirements of the relevant legislations are strictly adhered  to.</w:t>
      </w:r>
      <w:r w:rsidRPr="00202AC4">
        <w:rPr>
          <w:rFonts w:ascii="Segoe UI" w:eastAsia="Times New Roman" w:hAnsi="Segoe UI" w:cs="Segoe UI"/>
          <w:color w:val="242424"/>
          <w:kern w:val="0"/>
          <w:sz w:val="23"/>
          <w:szCs w:val="23"/>
          <w:lang w:eastAsia="en-GB"/>
          <w14:ligatures w14:val="none"/>
        </w:rPr>
        <w:br/>
        <w:t>9)  Todds Lane is a private lane serving the adjacent properties. Vehicles must not be parked to cause obstruction to others or at the entrances to, or exits from, the Premises or any other properties nearby.  The minimum of noise must be made on arrival and departure to Todds Lane and the Premises.</w:t>
      </w:r>
      <w:r w:rsidRPr="00202AC4">
        <w:rPr>
          <w:rFonts w:ascii="Segoe UI" w:eastAsia="Times New Roman" w:hAnsi="Segoe UI" w:cs="Segoe UI"/>
          <w:color w:val="242424"/>
          <w:kern w:val="0"/>
          <w:sz w:val="23"/>
          <w:szCs w:val="23"/>
          <w:lang w:eastAsia="en-GB"/>
          <w14:ligatures w14:val="none"/>
        </w:rPr>
        <w:br/>
        <w:t>10)  Proper use shall be made of the litter bins and dustbin and litter shall not be left in or about the Premises.</w:t>
      </w:r>
      <w:r w:rsidRPr="00202AC4">
        <w:rPr>
          <w:rFonts w:ascii="Segoe UI" w:eastAsia="Times New Roman" w:hAnsi="Segoe UI" w:cs="Segoe UI"/>
          <w:color w:val="242424"/>
          <w:kern w:val="0"/>
          <w:sz w:val="23"/>
          <w:szCs w:val="23"/>
          <w:lang w:eastAsia="en-GB"/>
          <w14:ligatures w14:val="none"/>
        </w:rPr>
        <w:br/>
      </w:r>
      <w:r w:rsidRPr="00202AC4">
        <w:rPr>
          <w:rFonts w:ascii="Segoe UI" w:eastAsia="Times New Roman" w:hAnsi="Segoe UI" w:cs="Segoe UI"/>
          <w:color w:val="242424"/>
          <w:kern w:val="0"/>
          <w:sz w:val="23"/>
          <w:szCs w:val="23"/>
          <w:lang w:eastAsia="en-GB"/>
          <w14:ligatures w14:val="none"/>
        </w:rPr>
        <w:lastRenderedPageBreak/>
        <w:t>11)  Due to health and safety issues helium balloons are not permitted on the Premises.</w:t>
      </w:r>
      <w:r w:rsidRPr="00202AC4">
        <w:rPr>
          <w:rFonts w:ascii="Segoe UI" w:eastAsia="Times New Roman" w:hAnsi="Segoe UI" w:cs="Segoe UI"/>
          <w:color w:val="242424"/>
          <w:kern w:val="0"/>
          <w:sz w:val="23"/>
          <w:szCs w:val="23"/>
          <w:lang w:eastAsia="en-GB"/>
          <w14:ligatures w14:val="none"/>
        </w:rPr>
        <w:br/>
        <w:t>12)  As per the conditions of the ‘Public Entertainments Licence’, music or any other activity provided at or performed at the Premises must not cause annoyance to nearby residents and any form of amplification must be so controlled as to prevent such a nuisance.</w:t>
      </w:r>
      <w:r w:rsidRPr="00202AC4">
        <w:rPr>
          <w:rFonts w:ascii="Segoe UI" w:eastAsia="Times New Roman" w:hAnsi="Segoe UI" w:cs="Segoe UI"/>
          <w:color w:val="242424"/>
          <w:kern w:val="0"/>
          <w:sz w:val="23"/>
          <w:szCs w:val="23"/>
          <w:lang w:eastAsia="en-GB"/>
          <w14:ligatures w14:val="none"/>
        </w:rPr>
        <w:br/>
        <w:t>13)  Bouncy castles and other inflatables are permitted, provided they are no less than 1m below the ceiling fans. Hirers are responsible for insurance of such equipment. </w:t>
      </w:r>
    </w:p>
    <w:p w14:paraId="33BFB3B4" w14:textId="0BD4FA4A" w:rsidR="00202AC4" w:rsidRPr="00202AC4" w:rsidRDefault="00202AC4" w:rsidP="00202AC4">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02AC4">
        <w:rPr>
          <w:rFonts w:ascii="Segoe UI" w:eastAsia="Times New Roman" w:hAnsi="Segoe UI" w:cs="Segoe UI"/>
          <w:color w:val="242424"/>
          <w:kern w:val="0"/>
          <w:sz w:val="23"/>
          <w:szCs w:val="23"/>
          <w:lang w:eastAsia="en-GB"/>
          <w14:ligatures w14:val="none"/>
        </w:rPr>
        <w:t>14)  Use of the stage is available at no extra cost provided the committee have approved this and the hirer has produced their own risk assessment.</w:t>
      </w:r>
    </w:p>
    <w:p w14:paraId="36211991" w14:textId="2CDB07CE" w:rsidR="00863466" w:rsidRDefault="00863466" w:rsidP="00202AC4">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Cancellations need to be requested 7 days before booking to be cancelled, if not full charge will be required.</w:t>
      </w:r>
    </w:p>
    <w:p w14:paraId="5C5DC446" w14:textId="1469BF3B" w:rsidR="00202AC4" w:rsidRPr="00202AC4" w:rsidRDefault="00202AC4" w:rsidP="00202AC4">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02AC4">
        <w:rPr>
          <w:rFonts w:ascii="Segoe UI" w:eastAsia="Times New Roman" w:hAnsi="Segoe UI" w:cs="Segoe UI"/>
          <w:color w:val="242424"/>
          <w:kern w:val="0"/>
          <w:sz w:val="23"/>
          <w:szCs w:val="23"/>
          <w:lang w:eastAsia="en-GB"/>
          <w14:ligatures w14:val="none"/>
        </w:rPr>
        <w:t>15) Rules 1 to 14 may be altered and additional rules added at any time with the consent of a two thirds majority of the members of the Committee present, provided that the terms of the ‘Trust Deed’ and any statutory provisions are observed and not broken.</w:t>
      </w:r>
      <w:r w:rsidRPr="00202AC4">
        <w:rPr>
          <w:rFonts w:ascii="Segoe UI" w:eastAsia="Times New Roman" w:hAnsi="Segoe UI" w:cs="Segoe UI"/>
          <w:color w:val="242424"/>
          <w:kern w:val="0"/>
          <w:sz w:val="23"/>
          <w:szCs w:val="23"/>
          <w:lang w:eastAsia="en-GB"/>
          <w14:ligatures w14:val="none"/>
        </w:rPr>
        <w:br/>
      </w:r>
      <w:r w:rsidRPr="00202AC4">
        <w:rPr>
          <w:rFonts w:ascii="Segoe UI" w:eastAsia="Times New Roman" w:hAnsi="Segoe UI" w:cs="Segoe UI"/>
          <w:color w:val="242424"/>
          <w:kern w:val="0"/>
          <w:sz w:val="23"/>
          <w:szCs w:val="23"/>
          <w:lang w:eastAsia="en-GB"/>
          <w14:ligatures w14:val="none"/>
        </w:rPr>
        <w:br/>
        <w:t>THE VILLAGE HALL IS REGISTERED AS A CHARITY</w:t>
      </w:r>
      <w:r w:rsidRPr="00202AC4">
        <w:rPr>
          <w:rFonts w:ascii="Segoe UI" w:eastAsia="Times New Roman" w:hAnsi="Segoe UI" w:cs="Segoe UI"/>
          <w:color w:val="242424"/>
          <w:kern w:val="0"/>
          <w:sz w:val="23"/>
          <w:szCs w:val="23"/>
          <w:lang w:eastAsia="en-GB"/>
          <w14:ligatures w14:val="none"/>
        </w:rPr>
        <w:br/>
        <w:t>CHARITY NO. 1041172</w:t>
      </w:r>
    </w:p>
    <w:p w14:paraId="143FA100" w14:textId="77777777" w:rsidR="00202AC4" w:rsidRPr="00202AC4" w:rsidRDefault="00202AC4" w:rsidP="00202AC4">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02AC4">
        <w:rPr>
          <w:rFonts w:ascii="Segoe UI" w:eastAsia="Times New Roman" w:hAnsi="Segoe UI" w:cs="Segoe UI"/>
          <w:color w:val="242424"/>
          <w:kern w:val="0"/>
          <w:sz w:val="23"/>
          <w:szCs w:val="23"/>
          <w:lang w:eastAsia="en-GB"/>
          <w14:ligatures w14:val="none"/>
        </w:rPr>
        <w:t>﻿</w:t>
      </w:r>
    </w:p>
    <w:p w14:paraId="567C2ECE" w14:textId="77777777" w:rsidR="004A0F03" w:rsidRDefault="004A0F03"/>
    <w:sectPr w:rsidR="004A0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C4"/>
    <w:rsid w:val="000469A2"/>
    <w:rsid w:val="00202AC4"/>
    <w:rsid w:val="004A0F03"/>
    <w:rsid w:val="007F18E6"/>
    <w:rsid w:val="00863466"/>
    <w:rsid w:val="008B16DB"/>
    <w:rsid w:val="00A73355"/>
    <w:rsid w:val="00B8551F"/>
    <w:rsid w:val="00F46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A43E"/>
  <w15:chartTrackingRefBased/>
  <w15:docId w15:val="{A34E3FF6-8031-47D4-A8E2-DAFA4933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AC4"/>
    <w:rPr>
      <w:rFonts w:eastAsiaTheme="majorEastAsia" w:cstheme="majorBidi"/>
      <w:color w:val="272727" w:themeColor="text1" w:themeTint="D8"/>
    </w:rPr>
  </w:style>
  <w:style w:type="paragraph" w:styleId="Title">
    <w:name w:val="Title"/>
    <w:basedOn w:val="Normal"/>
    <w:next w:val="Normal"/>
    <w:link w:val="TitleChar"/>
    <w:uiPriority w:val="10"/>
    <w:qFormat/>
    <w:rsid w:val="00202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AC4"/>
    <w:pPr>
      <w:spacing w:before="160"/>
      <w:jc w:val="center"/>
    </w:pPr>
    <w:rPr>
      <w:i/>
      <w:iCs/>
      <w:color w:val="404040" w:themeColor="text1" w:themeTint="BF"/>
    </w:rPr>
  </w:style>
  <w:style w:type="character" w:customStyle="1" w:styleId="QuoteChar">
    <w:name w:val="Quote Char"/>
    <w:basedOn w:val="DefaultParagraphFont"/>
    <w:link w:val="Quote"/>
    <w:uiPriority w:val="29"/>
    <w:rsid w:val="00202AC4"/>
    <w:rPr>
      <w:i/>
      <w:iCs/>
      <w:color w:val="404040" w:themeColor="text1" w:themeTint="BF"/>
    </w:rPr>
  </w:style>
  <w:style w:type="paragraph" w:styleId="ListParagraph">
    <w:name w:val="List Paragraph"/>
    <w:basedOn w:val="Normal"/>
    <w:uiPriority w:val="34"/>
    <w:qFormat/>
    <w:rsid w:val="00202AC4"/>
    <w:pPr>
      <w:ind w:left="720"/>
      <w:contextualSpacing/>
    </w:pPr>
  </w:style>
  <w:style w:type="character" w:styleId="IntenseEmphasis">
    <w:name w:val="Intense Emphasis"/>
    <w:basedOn w:val="DefaultParagraphFont"/>
    <w:uiPriority w:val="21"/>
    <w:qFormat/>
    <w:rsid w:val="00202AC4"/>
    <w:rPr>
      <w:i/>
      <w:iCs/>
      <w:color w:val="0F4761" w:themeColor="accent1" w:themeShade="BF"/>
    </w:rPr>
  </w:style>
  <w:style w:type="paragraph" w:styleId="IntenseQuote">
    <w:name w:val="Intense Quote"/>
    <w:basedOn w:val="Normal"/>
    <w:next w:val="Normal"/>
    <w:link w:val="IntenseQuoteChar"/>
    <w:uiPriority w:val="30"/>
    <w:qFormat/>
    <w:rsid w:val="00202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AC4"/>
    <w:rPr>
      <w:i/>
      <w:iCs/>
      <w:color w:val="0F4761" w:themeColor="accent1" w:themeShade="BF"/>
    </w:rPr>
  </w:style>
  <w:style w:type="character" w:styleId="IntenseReference">
    <w:name w:val="Intense Reference"/>
    <w:basedOn w:val="DefaultParagraphFont"/>
    <w:uiPriority w:val="32"/>
    <w:qFormat/>
    <w:rsid w:val="00202A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sharp</dc:creator>
  <cp:keywords/>
  <dc:description/>
  <cp:lastModifiedBy>jennifer sharp</cp:lastModifiedBy>
  <cp:revision>4</cp:revision>
  <dcterms:created xsi:type="dcterms:W3CDTF">2026-05-27T13:00:00Z</dcterms:created>
  <dcterms:modified xsi:type="dcterms:W3CDTF">2026-05-27T13:35:00Z</dcterms:modified>
</cp:coreProperties>
</file>